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92DF7" w14:textId="5F27E035" w:rsidR="00543A97" w:rsidRDefault="00543A97" w:rsidP="005005F3">
      <w:pPr>
        <w:spacing w:before="0" w:after="0" w:line="276" w:lineRule="auto"/>
        <w:jc w:val="center"/>
        <w:rPr>
          <w:rFonts w:cs="Segoe UI"/>
          <w:b/>
          <w:sz w:val="24"/>
          <w:szCs w:val="24"/>
          <w:lang w:val="es-CO"/>
        </w:rPr>
      </w:pPr>
      <w:bookmarkStart w:id="0" w:name="_GoBack"/>
      <w:bookmarkEnd w:id="0"/>
      <w:r w:rsidRPr="00E61503">
        <w:rPr>
          <w:rFonts w:cs="Segoe UI"/>
          <w:b/>
          <w:sz w:val="24"/>
          <w:szCs w:val="24"/>
          <w:lang w:val="es-CO"/>
        </w:rPr>
        <w:t>PROYECTO DE LEY</w:t>
      </w:r>
      <w:r w:rsidR="005005F3">
        <w:rPr>
          <w:rFonts w:cs="Segoe UI"/>
          <w:b/>
          <w:sz w:val="24"/>
          <w:szCs w:val="24"/>
          <w:lang w:val="es-CO"/>
        </w:rPr>
        <w:t xml:space="preserve"> </w:t>
      </w:r>
      <w:r w:rsidRPr="00E61503">
        <w:rPr>
          <w:rFonts w:cs="Segoe UI"/>
          <w:b/>
          <w:sz w:val="24"/>
          <w:szCs w:val="24"/>
          <w:lang w:val="es-CO"/>
        </w:rPr>
        <w:t xml:space="preserve">DE 2018 </w:t>
      </w:r>
      <w:r w:rsidRPr="00E61503">
        <w:rPr>
          <w:rFonts w:cs="Segoe UI"/>
          <w:b/>
          <w:sz w:val="24"/>
          <w:szCs w:val="24"/>
          <w:lang w:val="es-CO"/>
        </w:rPr>
        <w:br/>
        <w:t>“por la cual se renueva la emisión de la estampilla “</w:t>
      </w:r>
      <w:r w:rsidR="00DE2C39" w:rsidRPr="00E61503">
        <w:rPr>
          <w:rFonts w:cs="Segoe UI"/>
          <w:b/>
          <w:sz w:val="24"/>
          <w:szCs w:val="24"/>
          <w:lang w:val="es-CO"/>
        </w:rPr>
        <w:t>Pro-Desarrollo</w:t>
      </w:r>
      <w:r w:rsidRPr="00E61503">
        <w:rPr>
          <w:rFonts w:cs="Segoe UI"/>
          <w:b/>
          <w:sz w:val="24"/>
          <w:szCs w:val="24"/>
          <w:lang w:val="es-CO"/>
        </w:rPr>
        <w:t xml:space="preserve"> Académico y Descentralización de Servicios Educativos de la Universidad de Córdoba”, creada mediante la Ley 382 de 1997 y se dictan otras disposiciones”</w:t>
      </w:r>
    </w:p>
    <w:p w14:paraId="27BB14A6" w14:textId="77777777" w:rsidR="00543A97" w:rsidRDefault="00543A97" w:rsidP="00D42684">
      <w:pPr>
        <w:spacing w:before="0" w:after="0" w:line="276" w:lineRule="auto"/>
        <w:jc w:val="both"/>
        <w:rPr>
          <w:rFonts w:cs="Segoe UI"/>
          <w:b/>
          <w:sz w:val="24"/>
          <w:szCs w:val="24"/>
          <w:lang w:val="es-CO"/>
        </w:rPr>
      </w:pPr>
    </w:p>
    <w:p w14:paraId="3BC8383E" w14:textId="19D9DD35" w:rsidR="00543A97" w:rsidRDefault="00543A97" w:rsidP="00D42684">
      <w:pPr>
        <w:spacing w:before="0" w:after="0" w:line="276" w:lineRule="auto"/>
        <w:jc w:val="both"/>
        <w:rPr>
          <w:rFonts w:cs="Segoe UI"/>
          <w:b/>
          <w:sz w:val="24"/>
          <w:szCs w:val="24"/>
          <w:lang w:val="es-CO"/>
        </w:rPr>
      </w:pPr>
      <w:r>
        <w:rPr>
          <w:rFonts w:cs="Segoe UI"/>
          <w:b/>
          <w:sz w:val="24"/>
          <w:szCs w:val="24"/>
          <w:lang w:val="es-CO"/>
        </w:rPr>
        <w:t>EXPOSICIÓN DE MOTIVOS</w:t>
      </w:r>
    </w:p>
    <w:p w14:paraId="1B61F866" w14:textId="77777777" w:rsidR="00D3706F" w:rsidRDefault="00D3706F" w:rsidP="00D42684">
      <w:pPr>
        <w:spacing w:before="0" w:after="0" w:line="276" w:lineRule="auto"/>
        <w:jc w:val="both"/>
        <w:rPr>
          <w:rFonts w:cs="Segoe UI"/>
          <w:b/>
          <w:sz w:val="24"/>
          <w:szCs w:val="24"/>
          <w:lang w:val="es-CO"/>
        </w:rPr>
      </w:pPr>
    </w:p>
    <w:p w14:paraId="6AC1A7AE" w14:textId="0249650B" w:rsidR="00543A97" w:rsidRDefault="00543A97" w:rsidP="00D42684">
      <w:pPr>
        <w:pStyle w:val="Ttulo4"/>
        <w:spacing w:before="0" w:after="0" w:line="276" w:lineRule="auto"/>
        <w:jc w:val="both"/>
        <w:rPr>
          <w:lang w:val="es-CO"/>
        </w:rPr>
      </w:pPr>
      <w:r>
        <w:rPr>
          <w:lang w:val="es-CO"/>
        </w:rPr>
        <w:t>Antecedentes</w:t>
      </w:r>
    </w:p>
    <w:p w14:paraId="54B6138A" w14:textId="18832D1C" w:rsidR="0019099D" w:rsidRDefault="0019099D" w:rsidP="00D42684">
      <w:pPr>
        <w:spacing w:before="0" w:after="0" w:line="276" w:lineRule="auto"/>
        <w:jc w:val="both"/>
        <w:rPr>
          <w:lang w:val="es-CO"/>
        </w:rPr>
      </w:pPr>
    </w:p>
    <w:p w14:paraId="093B0C47" w14:textId="4F786E9C" w:rsidR="00D3706F" w:rsidRDefault="00D3706F" w:rsidP="00D42684">
      <w:pPr>
        <w:pStyle w:val="Sinespaciado"/>
        <w:spacing w:line="276" w:lineRule="auto"/>
        <w:jc w:val="both"/>
        <w:rPr>
          <w:lang w:val="es-CO"/>
        </w:rPr>
      </w:pPr>
      <w:r>
        <w:rPr>
          <w:lang w:val="es-CO"/>
        </w:rPr>
        <w:t>Antecedentes Legislativos</w:t>
      </w:r>
    </w:p>
    <w:p w14:paraId="0DEDD70C" w14:textId="785FA28D" w:rsidR="00903BA2" w:rsidRDefault="00903BA2" w:rsidP="00D42684">
      <w:pPr>
        <w:pStyle w:val="Sinespaciado"/>
        <w:numPr>
          <w:ilvl w:val="0"/>
          <w:numId w:val="0"/>
        </w:numPr>
        <w:spacing w:line="276" w:lineRule="auto"/>
        <w:jc w:val="both"/>
        <w:rPr>
          <w:lang w:val="es-CO"/>
        </w:rPr>
      </w:pPr>
    </w:p>
    <w:p w14:paraId="1C142BF5" w14:textId="612EFD7F" w:rsidR="00903BA2" w:rsidRDefault="00284A57" w:rsidP="00D42684">
      <w:pPr>
        <w:spacing w:line="276" w:lineRule="auto"/>
        <w:jc w:val="both"/>
        <w:rPr>
          <w:rFonts w:asciiTheme="minorHAnsi" w:hAnsiTheme="minorHAnsi"/>
          <w:lang w:val="es-CO"/>
        </w:rPr>
      </w:pPr>
      <w:r>
        <w:t xml:space="preserve">La presente iniciativa </w:t>
      </w:r>
      <w:r w:rsidR="008C3EB3">
        <w:t xml:space="preserve">ha sido presentada en varias oportunidades, pero por </w:t>
      </w:r>
      <w:r w:rsidR="00B029C7">
        <w:t>transito</w:t>
      </w:r>
      <w:r w:rsidR="008C3EB3">
        <w:t xml:space="preserve"> legislativo el Proyecto de Ley se </w:t>
      </w:r>
      <w:r w:rsidR="00DE2C39">
        <w:t>archivaron, al</w:t>
      </w:r>
      <w:r w:rsidR="00B029C7">
        <w:t xml:space="preserve"> no termina</w:t>
      </w:r>
      <w:r w:rsidR="002E3B00">
        <w:t>r</w:t>
      </w:r>
      <w:r w:rsidR="00B029C7">
        <w:t xml:space="preserve"> sus debates en el tiempo reglamentario. </w:t>
      </w:r>
      <w:r w:rsidR="008C3EB3">
        <w:t>La última vez</w:t>
      </w:r>
      <w:r w:rsidR="00B029C7">
        <w:t xml:space="preserve"> dicha iniciativa fue presentada por </w:t>
      </w:r>
      <w:r w:rsidR="002C71D1">
        <w:t xml:space="preserve">la ex Senadora </w:t>
      </w:r>
      <w:proofErr w:type="spellStart"/>
      <w:r w:rsidR="002C71D1">
        <w:t>Arleth</w:t>
      </w:r>
      <w:proofErr w:type="spellEnd"/>
      <w:r w:rsidR="002C71D1">
        <w:t xml:space="preserve"> Casado de López el 30 de marzo de 2017</w:t>
      </w:r>
      <w:r w:rsidR="00B029C7">
        <w:t xml:space="preserve">, el </w:t>
      </w:r>
      <w:r w:rsidR="00DE2C39">
        <w:t>P</w:t>
      </w:r>
      <w:r w:rsidR="00B029C7">
        <w:t xml:space="preserve">royecto de </w:t>
      </w:r>
      <w:r w:rsidR="00DE2C39">
        <w:t>Le</w:t>
      </w:r>
      <w:r w:rsidR="00B029C7">
        <w:t xml:space="preserve">y estaba conformado por </w:t>
      </w:r>
      <w:r w:rsidR="00903BA2">
        <w:t xml:space="preserve">9 artículos </w:t>
      </w:r>
      <w:r w:rsidR="00B029C7">
        <w:t>y su</w:t>
      </w:r>
      <w:r w:rsidR="00903BA2">
        <w:t xml:space="preserve"> objetivo</w:t>
      </w:r>
      <w:r w:rsidR="00DE2C39">
        <w:t>, además de la renovación de la estampilla,</w:t>
      </w:r>
      <w:r w:rsidR="00903BA2">
        <w:t xml:space="preserve"> era el de recompone</w:t>
      </w:r>
      <w:r w:rsidR="00B029C7">
        <w:t xml:space="preserve">r </w:t>
      </w:r>
      <w:r w:rsidR="00903BA2">
        <w:t xml:space="preserve">la distribución de los recursos </w:t>
      </w:r>
      <w:r w:rsidR="00B029C7">
        <w:t xml:space="preserve">provenientes del recaudo de la </w:t>
      </w:r>
      <w:r w:rsidR="00DE2C39">
        <w:t>misma</w:t>
      </w:r>
      <w:r w:rsidR="00B029C7">
        <w:t>. El 20 de junio de 2018 la iniciativa presentada por</w:t>
      </w:r>
      <w:r w:rsidR="003405B8">
        <w:t xml:space="preserve"> la ex Senadora</w:t>
      </w:r>
      <w:r w:rsidR="00B029C7">
        <w:t xml:space="preserve"> </w:t>
      </w:r>
      <w:proofErr w:type="spellStart"/>
      <w:r w:rsidR="00B029C7">
        <w:t>Arle</w:t>
      </w:r>
      <w:r w:rsidR="00DE2C39">
        <w:t>th</w:t>
      </w:r>
      <w:proofErr w:type="spellEnd"/>
      <w:r w:rsidR="00DE2C39">
        <w:t xml:space="preserve"> Casado fue archivada puesto que solamente tuvo dos debates en la Cámara de Representantes.</w:t>
      </w:r>
      <w:r w:rsidR="002E3B00">
        <w:t xml:space="preserve"> En esta oportunidad la iniciativa es de autoría principal de la Senadora Ruby Helena Chagüi </w:t>
      </w:r>
      <w:proofErr w:type="spellStart"/>
      <w:r w:rsidR="002E3B00">
        <w:t>Spath</w:t>
      </w:r>
      <w:proofErr w:type="spellEnd"/>
      <w:r w:rsidR="002E3B00">
        <w:t xml:space="preserve">, </w:t>
      </w:r>
      <w:r w:rsidR="00C40091">
        <w:t>con el apoyo de todos los congresistas del departamento de Córdoba</w:t>
      </w:r>
      <w:r w:rsidR="002E3B00">
        <w:t xml:space="preserve">. </w:t>
      </w:r>
    </w:p>
    <w:p w14:paraId="07EBE819" w14:textId="77777777" w:rsidR="00903BA2" w:rsidRDefault="00903BA2" w:rsidP="00D42684">
      <w:pPr>
        <w:pStyle w:val="Sinespaciado"/>
        <w:numPr>
          <w:ilvl w:val="0"/>
          <w:numId w:val="0"/>
        </w:numPr>
        <w:spacing w:line="276" w:lineRule="auto"/>
        <w:jc w:val="both"/>
        <w:rPr>
          <w:lang w:val="es-CO"/>
        </w:rPr>
      </w:pPr>
    </w:p>
    <w:p w14:paraId="7055BFFF" w14:textId="3BD26B5C" w:rsidR="00D3706F" w:rsidRPr="00D3706F" w:rsidRDefault="000B0584" w:rsidP="00D42684">
      <w:pPr>
        <w:pStyle w:val="Sinespaciado"/>
        <w:numPr>
          <w:ilvl w:val="0"/>
          <w:numId w:val="0"/>
        </w:numPr>
        <w:spacing w:line="276" w:lineRule="auto"/>
        <w:ind w:left="720" w:hanging="360"/>
        <w:jc w:val="both"/>
        <w:rPr>
          <w:lang w:val="es-CO"/>
        </w:rPr>
      </w:pPr>
      <w:r>
        <w:rPr>
          <w:lang w:val="es-CO"/>
        </w:rPr>
        <w:t>1.2</w:t>
      </w:r>
      <w:r>
        <w:rPr>
          <w:lang w:val="es-CO"/>
        </w:rPr>
        <w:tab/>
      </w:r>
      <w:r w:rsidR="00D3706F" w:rsidRPr="00D3706F">
        <w:rPr>
          <w:lang w:val="es-CO"/>
        </w:rPr>
        <w:t>Universidad de Córdoba</w:t>
      </w:r>
    </w:p>
    <w:p w14:paraId="4325029A" w14:textId="7DE1B485" w:rsidR="00D3706F" w:rsidRPr="00903BA2" w:rsidRDefault="00D3706F" w:rsidP="00D42684">
      <w:pPr>
        <w:pStyle w:val="Sinespaciado"/>
        <w:numPr>
          <w:ilvl w:val="0"/>
          <w:numId w:val="0"/>
        </w:numPr>
        <w:spacing w:line="276" w:lineRule="auto"/>
        <w:jc w:val="both"/>
        <w:rPr>
          <w:b w:val="0"/>
          <w:lang w:val="es-CO"/>
        </w:rPr>
      </w:pPr>
    </w:p>
    <w:p w14:paraId="2B96DBB2" w14:textId="09256F45" w:rsidR="00D3706F" w:rsidRDefault="00D3706F" w:rsidP="00D42684">
      <w:pPr>
        <w:pStyle w:val="Sinespaciado"/>
        <w:numPr>
          <w:ilvl w:val="0"/>
          <w:numId w:val="0"/>
        </w:numPr>
        <w:spacing w:line="276" w:lineRule="auto"/>
        <w:jc w:val="both"/>
        <w:rPr>
          <w:b w:val="0"/>
          <w:lang w:val="es-CO"/>
        </w:rPr>
      </w:pPr>
      <w:r>
        <w:rPr>
          <w:b w:val="0"/>
          <w:lang w:val="es-CO"/>
        </w:rPr>
        <w:t xml:space="preserve">La Universidad de Córdoba fue creada en el año 1962 mediante la Ordenanza número 6 aprobada por la Asamblea Departamental, donde se expidió su funcionamiento. La idea de su creación fue del bacteriólogo </w:t>
      </w:r>
      <w:proofErr w:type="spellStart"/>
      <w:r>
        <w:rPr>
          <w:b w:val="0"/>
          <w:lang w:val="es-CO"/>
        </w:rPr>
        <w:t>Elias</w:t>
      </w:r>
      <w:proofErr w:type="spellEnd"/>
      <w:r>
        <w:rPr>
          <w:b w:val="0"/>
          <w:lang w:val="es-CO"/>
        </w:rPr>
        <w:t xml:space="preserve"> </w:t>
      </w:r>
      <w:proofErr w:type="spellStart"/>
      <w:r>
        <w:rPr>
          <w:b w:val="0"/>
          <w:lang w:val="es-CO"/>
        </w:rPr>
        <w:t>Bechara</w:t>
      </w:r>
      <w:proofErr w:type="spellEnd"/>
      <w:r>
        <w:rPr>
          <w:b w:val="0"/>
          <w:lang w:val="es-CO"/>
        </w:rPr>
        <w:t xml:space="preserve"> </w:t>
      </w:r>
      <w:proofErr w:type="spellStart"/>
      <w:r>
        <w:rPr>
          <w:b w:val="0"/>
          <w:lang w:val="es-CO"/>
        </w:rPr>
        <w:t>Zainúm</w:t>
      </w:r>
      <w:proofErr w:type="spellEnd"/>
      <w:r>
        <w:rPr>
          <w:b w:val="0"/>
          <w:lang w:val="es-CO"/>
        </w:rPr>
        <w:t>, con el propósito de que el departamento tuviera una Institución de Educación Superior donde los jóvenes bachilleres, que no se podían desplazar a otra región</w:t>
      </w:r>
      <w:r w:rsidR="00FA3D34">
        <w:rPr>
          <w:b w:val="0"/>
          <w:lang w:val="es-CO"/>
        </w:rPr>
        <w:t>,</w:t>
      </w:r>
      <w:r>
        <w:rPr>
          <w:b w:val="0"/>
          <w:lang w:val="es-CO"/>
        </w:rPr>
        <w:t xml:space="preserve"> pudieran continuar con sus estudios. </w:t>
      </w:r>
      <w:r w:rsidR="00903BA2">
        <w:rPr>
          <w:b w:val="0"/>
          <w:lang w:val="es-CO"/>
        </w:rPr>
        <w:t>En principio se crearon las facultades de Ingeniería Agronómica</w:t>
      </w:r>
      <w:r w:rsidR="005A576B">
        <w:rPr>
          <w:b w:val="0"/>
          <w:lang w:val="es-CO"/>
        </w:rPr>
        <w:t xml:space="preserve"> y Medicina Veterinaria y Zootecnia, dependientes de la Universidad Nacional de Bogotá. </w:t>
      </w:r>
    </w:p>
    <w:p w14:paraId="7C2A4D34" w14:textId="243DD21F" w:rsidR="00974976" w:rsidRDefault="00974976" w:rsidP="00D42684">
      <w:pPr>
        <w:pStyle w:val="Sinespaciado"/>
        <w:numPr>
          <w:ilvl w:val="0"/>
          <w:numId w:val="0"/>
        </w:numPr>
        <w:spacing w:line="276" w:lineRule="auto"/>
        <w:jc w:val="both"/>
        <w:rPr>
          <w:b w:val="0"/>
          <w:lang w:val="es-CO"/>
        </w:rPr>
      </w:pPr>
    </w:p>
    <w:p w14:paraId="72B2C846" w14:textId="0E773BB9" w:rsidR="00EB23A8" w:rsidRDefault="00EB23A8" w:rsidP="00D42684">
      <w:pPr>
        <w:pStyle w:val="Sinespaciado"/>
        <w:numPr>
          <w:ilvl w:val="0"/>
          <w:numId w:val="0"/>
        </w:numPr>
        <w:spacing w:line="276" w:lineRule="auto"/>
        <w:jc w:val="both"/>
        <w:rPr>
          <w:b w:val="0"/>
          <w:lang w:val="es-CO"/>
        </w:rPr>
      </w:pPr>
      <w:r>
        <w:rPr>
          <w:b w:val="0"/>
          <w:lang w:val="es-CO"/>
        </w:rPr>
        <w:t xml:space="preserve">La sede principal de la Universidad de Córdoba se encuentra en la ciudad de </w:t>
      </w:r>
      <w:proofErr w:type="spellStart"/>
      <w:r>
        <w:rPr>
          <w:b w:val="0"/>
          <w:lang w:val="es-CO"/>
        </w:rPr>
        <w:t>Monteria</w:t>
      </w:r>
      <w:proofErr w:type="spellEnd"/>
      <w:r>
        <w:rPr>
          <w:b w:val="0"/>
          <w:lang w:val="es-CO"/>
        </w:rPr>
        <w:t>, sin embargo</w:t>
      </w:r>
      <w:r w:rsidR="00F1542E">
        <w:rPr>
          <w:b w:val="0"/>
          <w:lang w:val="es-CO"/>
        </w:rPr>
        <w:t xml:space="preserve">, la institución tiene presencia en los municipios de Lorica </w:t>
      </w:r>
      <w:r w:rsidR="00C911BB">
        <w:rPr>
          <w:b w:val="0"/>
          <w:lang w:val="es-CO"/>
        </w:rPr>
        <w:t xml:space="preserve">y Ciénaga de Oro. </w:t>
      </w:r>
      <w:r w:rsidR="00C911BB">
        <w:rPr>
          <w:b w:val="0"/>
          <w:lang w:val="es-CO"/>
        </w:rPr>
        <w:lastRenderedPageBreak/>
        <w:t xml:space="preserve">Según datos de la </w:t>
      </w:r>
      <w:r w:rsidR="005668E8">
        <w:rPr>
          <w:b w:val="0"/>
          <w:lang w:val="es-CO"/>
        </w:rPr>
        <w:t>Unidad de Planeación y Gestión, en 1964</w:t>
      </w:r>
      <w:r w:rsidR="00C9781D">
        <w:rPr>
          <w:b w:val="0"/>
          <w:lang w:val="es-CO"/>
        </w:rPr>
        <w:t>, cuando se iniciaron las clases,</w:t>
      </w:r>
      <w:r w:rsidR="005668E8">
        <w:rPr>
          <w:b w:val="0"/>
          <w:lang w:val="es-CO"/>
        </w:rPr>
        <w:t xml:space="preserve"> la universidad contaba con 164 estudiantes y 18 profesores, de los cuales tres eran ocasionales y quince de catedra; para el </w:t>
      </w:r>
      <w:proofErr w:type="spellStart"/>
      <w:r w:rsidR="005668E8">
        <w:rPr>
          <w:b w:val="0"/>
          <w:lang w:val="es-CO"/>
        </w:rPr>
        <w:t>ultimo</w:t>
      </w:r>
      <w:proofErr w:type="spellEnd"/>
      <w:r w:rsidR="005668E8">
        <w:rPr>
          <w:b w:val="0"/>
          <w:lang w:val="es-CO"/>
        </w:rPr>
        <w:t xml:space="preserve"> semestre de 2017 </w:t>
      </w:r>
      <w:r w:rsidR="00C9781D">
        <w:rPr>
          <w:b w:val="0"/>
          <w:lang w:val="es-CO"/>
        </w:rPr>
        <w:t>había</w:t>
      </w:r>
      <w:r w:rsidR="005668E8">
        <w:rPr>
          <w:b w:val="0"/>
          <w:lang w:val="es-CO"/>
        </w:rPr>
        <w:t xml:space="preserve"> 16,073 estudiantes y más de novecientos profesores</w:t>
      </w:r>
      <w:r w:rsidR="00C9781D">
        <w:rPr>
          <w:b w:val="0"/>
          <w:lang w:val="es-CO"/>
        </w:rPr>
        <w:t xml:space="preserve">. </w:t>
      </w:r>
    </w:p>
    <w:p w14:paraId="0F3AD3D2" w14:textId="77777777" w:rsidR="002F1F49" w:rsidRDefault="002F1F49" w:rsidP="00D42684">
      <w:pPr>
        <w:pStyle w:val="Sinespaciado"/>
        <w:numPr>
          <w:ilvl w:val="0"/>
          <w:numId w:val="0"/>
        </w:numPr>
        <w:spacing w:line="276" w:lineRule="auto"/>
        <w:jc w:val="both"/>
        <w:rPr>
          <w:b w:val="0"/>
          <w:lang w:val="es-CO"/>
        </w:rPr>
      </w:pPr>
    </w:p>
    <w:p w14:paraId="33A93435" w14:textId="49AAC29C" w:rsidR="0019099D" w:rsidRDefault="00C9781D" w:rsidP="00D42684">
      <w:pPr>
        <w:spacing w:line="276" w:lineRule="auto"/>
        <w:jc w:val="both"/>
        <w:rPr>
          <w:lang w:val="es-CO"/>
        </w:rPr>
      </w:pPr>
      <w:r>
        <w:rPr>
          <w:lang w:val="es-CO"/>
        </w:rPr>
        <w:t>En los dos últimos dos años la Universidad de Córdoba ha crecido de manera sustancial</w:t>
      </w:r>
      <w:r w:rsidR="00CD39AF">
        <w:rPr>
          <w:lang w:val="es-CO"/>
        </w:rPr>
        <w:t>, l</w:t>
      </w:r>
      <w:r w:rsidR="00D42684">
        <w:rPr>
          <w:lang w:val="es-CO"/>
        </w:rPr>
        <w:t xml:space="preserve">os indicadores muestran que el número de estudiantes ha aumentado, tanto en pregrado como en posgrado, de igual manera lo ha hecho el número de programas académicos acreditados y los docentes con alto nivel académico, en 2015 la universidad contaba con 57 docentes con doctorado mientras que en 2017 fueron 71. </w:t>
      </w:r>
      <w:r w:rsidR="00B45699">
        <w:rPr>
          <w:lang w:val="es-CO"/>
        </w:rPr>
        <w:t xml:space="preserve">Adicionalmente es la Universidad mejor posicionada de la región, según el Ranking QS. </w:t>
      </w:r>
    </w:p>
    <w:p w14:paraId="4D2F314D" w14:textId="11558927" w:rsidR="00B45699" w:rsidRDefault="00B45699" w:rsidP="00B45699">
      <w:pPr>
        <w:pStyle w:val="Ttulo1"/>
        <w:jc w:val="center"/>
        <w:rPr>
          <w:lang w:val="es-CO"/>
        </w:rPr>
      </w:pPr>
      <w:r>
        <w:rPr>
          <w:lang w:val="es-CO"/>
        </w:rPr>
        <w:t xml:space="preserve">Tabla 1. Indicadores estratégicos Universidad de Córdoba 2015 – 2017 </w:t>
      </w:r>
    </w:p>
    <w:tbl>
      <w:tblPr>
        <w:tblStyle w:val="Tabladecuadrcula4-nfasis11"/>
        <w:tblW w:w="5268" w:type="pct"/>
        <w:jc w:val="center"/>
        <w:tblLayout w:type="fixed"/>
        <w:tblLook w:val="04A0" w:firstRow="1" w:lastRow="0" w:firstColumn="1" w:lastColumn="0" w:noHBand="0" w:noVBand="1"/>
      </w:tblPr>
      <w:tblGrid>
        <w:gridCol w:w="7262"/>
        <w:gridCol w:w="1003"/>
        <w:gridCol w:w="1038"/>
      </w:tblGrid>
      <w:tr w:rsidR="00C9781D" w:rsidRPr="00C9781D" w14:paraId="70BC8799" w14:textId="77777777" w:rsidTr="00C9781D">
        <w:trPr>
          <w:cnfStyle w:val="100000000000" w:firstRow="1" w:lastRow="0" w:firstColumn="0" w:lastColumn="0" w:oddVBand="0" w:evenVBand="0" w:oddHBand="0" w:evenHBand="0" w:firstRowFirstColumn="0" w:firstRowLastColumn="0" w:lastRowFirstColumn="0" w:lastRowLastColumn="0"/>
          <w:trHeight w:val="57"/>
          <w:tblHeader/>
          <w:jc w:val="center"/>
        </w:trPr>
        <w:tc>
          <w:tcPr>
            <w:cnfStyle w:val="001000000000" w:firstRow="0" w:lastRow="0" w:firstColumn="1" w:lastColumn="0" w:oddVBand="0" w:evenVBand="0" w:oddHBand="0" w:evenHBand="0" w:firstRowFirstColumn="0" w:firstRowLastColumn="0" w:lastRowFirstColumn="0" w:lastRowLastColumn="0"/>
            <w:tcW w:w="3903" w:type="pct"/>
            <w:noWrap/>
            <w:vAlign w:val="center"/>
            <w:hideMark/>
          </w:tcPr>
          <w:p w14:paraId="7848BD9A" w14:textId="77777777" w:rsidR="00C9781D" w:rsidRPr="00C9781D" w:rsidRDefault="00C9781D" w:rsidP="00B45699">
            <w:pPr>
              <w:spacing w:before="0" w:after="0" w:line="276" w:lineRule="auto"/>
              <w:jc w:val="center"/>
              <w:rPr>
                <w:rFonts w:eastAsia="Times New Roman" w:cs="Segoe UI"/>
                <w:lang w:val="es-CO" w:eastAsia="es-CO"/>
              </w:rPr>
            </w:pPr>
            <w:r w:rsidRPr="00C9781D">
              <w:rPr>
                <w:rFonts w:eastAsia="Times New Roman" w:cs="Segoe UI"/>
                <w:lang w:val="es-CO" w:eastAsia="es-CO"/>
              </w:rPr>
              <w:t>INDICADOR</w:t>
            </w:r>
          </w:p>
        </w:tc>
        <w:tc>
          <w:tcPr>
            <w:tcW w:w="539" w:type="pct"/>
            <w:noWrap/>
            <w:vAlign w:val="center"/>
            <w:hideMark/>
          </w:tcPr>
          <w:p w14:paraId="199EBD3A" w14:textId="28E6D2F1" w:rsidR="00C9781D" w:rsidRPr="00C9781D" w:rsidRDefault="00C9781D" w:rsidP="00B45699">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CO" w:eastAsia="es-CO"/>
              </w:rPr>
            </w:pPr>
            <w:r w:rsidRPr="00C9781D">
              <w:rPr>
                <w:rFonts w:eastAsia="Times New Roman" w:cs="Segoe UI"/>
                <w:lang w:val="es-CO" w:eastAsia="es-CO"/>
              </w:rPr>
              <w:t>Dic-2015</w:t>
            </w:r>
          </w:p>
        </w:tc>
        <w:tc>
          <w:tcPr>
            <w:tcW w:w="558" w:type="pct"/>
            <w:noWrap/>
            <w:vAlign w:val="center"/>
            <w:hideMark/>
          </w:tcPr>
          <w:p w14:paraId="79CE0C58" w14:textId="295C0847" w:rsidR="00C9781D" w:rsidRPr="00C9781D" w:rsidRDefault="00C9781D" w:rsidP="00B45699">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CO" w:eastAsia="es-CO"/>
              </w:rPr>
            </w:pPr>
            <w:r w:rsidRPr="00C9781D">
              <w:rPr>
                <w:rFonts w:eastAsia="Times New Roman" w:cs="Segoe UI"/>
                <w:lang w:val="es-CO" w:eastAsia="es-CO"/>
              </w:rPr>
              <w:t>Dic- 2017</w:t>
            </w:r>
          </w:p>
        </w:tc>
      </w:tr>
      <w:tr w:rsidR="00C9781D" w:rsidRPr="00C9781D" w14:paraId="7BB8209A"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74F21763"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Estudiantes matriculados en primer semestre de pregrado</w:t>
            </w:r>
          </w:p>
        </w:tc>
        <w:tc>
          <w:tcPr>
            <w:tcW w:w="539" w:type="pct"/>
            <w:noWrap/>
            <w:hideMark/>
          </w:tcPr>
          <w:p w14:paraId="0678234F"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1,900</w:t>
            </w:r>
          </w:p>
        </w:tc>
        <w:tc>
          <w:tcPr>
            <w:tcW w:w="558" w:type="pct"/>
            <w:noWrap/>
            <w:hideMark/>
          </w:tcPr>
          <w:p w14:paraId="49EF485E"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2,382</w:t>
            </w:r>
          </w:p>
        </w:tc>
      </w:tr>
      <w:tr w:rsidR="00C9781D" w:rsidRPr="00C9781D" w14:paraId="51EDD893"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61C7A7B5"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Estudiantes matriculados en pregrado</w:t>
            </w:r>
          </w:p>
        </w:tc>
        <w:tc>
          <w:tcPr>
            <w:tcW w:w="539" w:type="pct"/>
            <w:noWrap/>
            <w:hideMark/>
          </w:tcPr>
          <w:p w14:paraId="4379BD05"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14,112</w:t>
            </w:r>
          </w:p>
        </w:tc>
        <w:tc>
          <w:tcPr>
            <w:tcW w:w="558" w:type="pct"/>
            <w:noWrap/>
            <w:hideMark/>
          </w:tcPr>
          <w:p w14:paraId="305542BB"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16,073</w:t>
            </w:r>
          </w:p>
        </w:tc>
      </w:tr>
      <w:tr w:rsidR="00C9781D" w:rsidRPr="00C9781D" w14:paraId="77D44D70"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2C9A54AC"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Estudiantes matriculados en posgrado</w:t>
            </w:r>
          </w:p>
        </w:tc>
        <w:tc>
          <w:tcPr>
            <w:tcW w:w="539" w:type="pct"/>
            <w:noWrap/>
            <w:hideMark/>
          </w:tcPr>
          <w:p w14:paraId="37AF1916"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352</w:t>
            </w:r>
          </w:p>
        </w:tc>
        <w:tc>
          <w:tcPr>
            <w:tcW w:w="558" w:type="pct"/>
            <w:noWrap/>
            <w:hideMark/>
          </w:tcPr>
          <w:p w14:paraId="53622939"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395</w:t>
            </w:r>
          </w:p>
        </w:tc>
      </w:tr>
      <w:tr w:rsidR="00C9781D" w:rsidRPr="00C9781D" w14:paraId="2AF440F7"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26ABCACF"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Programas académicos de pregrado y posgrado con registro calificado vigente</w:t>
            </w:r>
          </w:p>
        </w:tc>
        <w:tc>
          <w:tcPr>
            <w:tcW w:w="539" w:type="pct"/>
            <w:noWrap/>
            <w:hideMark/>
          </w:tcPr>
          <w:p w14:paraId="27902A43"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52</w:t>
            </w:r>
          </w:p>
        </w:tc>
        <w:tc>
          <w:tcPr>
            <w:tcW w:w="558" w:type="pct"/>
            <w:noWrap/>
            <w:hideMark/>
          </w:tcPr>
          <w:p w14:paraId="60B2159E"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54</w:t>
            </w:r>
          </w:p>
        </w:tc>
      </w:tr>
      <w:tr w:rsidR="00C9781D" w:rsidRPr="00C9781D" w14:paraId="57523323"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776D1327"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Programas académicos de pregrado con registro calificado vigente</w:t>
            </w:r>
          </w:p>
        </w:tc>
        <w:tc>
          <w:tcPr>
            <w:tcW w:w="539" w:type="pct"/>
            <w:noWrap/>
            <w:hideMark/>
          </w:tcPr>
          <w:p w14:paraId="2E84ADB0"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32</w:t>
            </w:r>
          </w:p>
        </w:tc>
        <w:tc>
          <w:tcPr>
            <w:tcW w:w="558" w:type="pct"/>
            <w:noWrap/>
            <w:hideMark/>
          </w:tcPr>
          <w:p w14:paraId="33080FC8"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31</w:t>
            </w:r>
          </w:p>
        </w:tc>
      </w:tr>
      <w:tr w:rsidR="00C9781D" w:rsidRPr="00C9781D" w14:paraId="03E7070E"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0780AA7F"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Programas académicos de posgrado con registro calificado vigente</w:t>
            </w:r>
          </w:p>
        </w:tc>
        <w:tc>
          <w:tcPr>
            <w:tcW w:w="539" w:type="pct"/>
            <w:noWrap/>
            <w:hideMark/>
          </w:tcPr>
          <w:p w14:paraId="6E198960"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20</w:t>
            </w:r>
          </w:p>
        </w:tc>
        <w:tc>
          <w:tcPr>
            <w:tcW w:w="558" w:type="pct"/>
            <w:noWrap/>
            <w:hideMark/>
          </w:tcPr>
          <w:p w14:paraId="64B80D67"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23</w:t>
            </w:r>
          </w:p>
        </w:tc>
      </w:tr>
      <w:tr w:rsidR="00C9781D" w:rsidRPr="00C9781D" w14:paraId="034B8C33"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5106675F"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programas académicos acreditados</w:t>
            </w:r>
          </w:p>
        </w:tc>
        <w:tc>
          <w:tcPr>
            <w:tcW w:w="539" w:type="pct"/>
            <w:noWrap/>
            <w:hideMark/>
          </w:tcPr>
          <w:p w14:paraId="7DB885B1"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4</w:t>
            </w:r>
          </w:p>
        </w:tc>
        <w:tc>
          <w:tcPr>
            <w:tcW w:w="558" w:type="pct"/>
            <w:noWrap/>
            <w:hideMark/>
          </w:tcPr>
          <w:p w14:paraId="2AEDE3DE"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9</w:t>
            </w:r>
          </w:p>
        </w:tc>
      </w:tr>
      <w:tr w:rsidR="00C9781D" w:rsidRPr="00C9781D" w14:paraId="2DD86F48"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044E3E1F"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CERES y CUZ</w:t>
            </w:r>
          </w:p>
        </w:tc>
        <w:tc>
          <w:tcPr>
            <w:tcW w:w="539" w:type="pct"/>
            <w:noWrap/>
            <w:hideMark/>
          </w:tcPr>
          <w:p w14:paraId="48B1EA94"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4</w:t>
            </w:r>
          </w:p>
        </w:tc>
        <w:tc>
          <w:tcPr>
            <w:tcW w:w="558" w:type="pct"/>
            <w:noWrap/>
            <w:hideMark/>
          </w:tcPr>
          <w:p w14:paraId="6C810CE4"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7</w:t>
            </w:r>
          </w:p>
        </w:tc>
      </w:tr>
      <w:tr w:rsidR="00C9781D" w:rsidRPr="00C9781D" w14:paraId="22DCB4AA" w14:textId="77777777" w:rsidTr="00B4569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6331D8B9"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Deserción estudiantil</w:t>
            </w:r>
          </w:p>
        </w:tc>
        <w:tc>
          <w:tcPr>
            <w:tcW w:w="539" w:type="pct"/>
            <w:noWrap/>
          </w:tcPr>
          <w:p w14:paraId="0A541A8F" w14:textId="4DF6495C" w:rsidR="00C9781D" w:rsidRPr="00C9781D" w:rsidRDefault="00B45699"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B45699">
              <w:rPr>
                <w:rFonts w:eastAsia="Times New Roman" w:cs="Segoe UI"/>
                <w:color w:val="000000"/>
                <w:lang w:val="es-CO" w:eastAsia="es-CO"/>
              </w:rPr>
              <w:t>7.7%</w:t>
            </w:r>
          </w:p>
        </w:tc>
        <w:tc>
          <w:tcPr>
            <w:tcW w:w="558" w:type="pct"/>
            <w:noWrap/>
          </w:tcPr>
          <w:p w14:paraId="578BA242" w14:textId="7C693C0A" w:rsidR="00C9781D" w:rsidRPr="00C9781D" w:rsidRDefault="00B45699"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B45699">
              <w:rPr>
                <w:rFonts w:eastAsia="Times New Roman" w:cs="Segoe UI"/>
                <w:color w:val="000000"/>
                <w:lang w:val="es-CO" w:eastAsia="es-CO"/>
              </w:rPr>
              <w:t>8.2%</w:t>
            </w:r>
          </w:p>
        </w:tc>
      </w:tr>
      <w:tr w:rsidR="00C9781D" w:rsidRPr="00C9781D" w14:paraId="4A053C64" w14:textId="77777777" w:rsidTr="00B45699">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080BACD0"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Cobertura Bienestar Institucional</w:t>
            </w:r>
          </w:p>
        </w:tc>
        <w:tc>
          <w:tcPr>
            <w:tcW w:w="539" w:type="pct"/>
            <w:noWrap/>
          </w:tcPr>
          <w:p w14:paraId="42F14CE0" w14:textId="482D81E2" w:rsidR="00C9781D" w:rsidRPr="00C9781D" w:rsidRDefault="00E60BE3"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E60BE3">
              <w:rPr>
                <w:rFonts w:eastAsia="Times New Roman" w:cs="Segoe UI"/>
                <w:color w:val="000000"/>
                <w:lang w:val="es-CO" w:eastAsia="es-CO"/>
              </w:rPr>
              <w:t>84.1%</w:t>
            </w:r>
          </w:p>
        </w:tc>
        <w:tc>
          <w:tcPr>
            <w:tcW w:w="558" w:type="pct"/>
            <w:noWrap/>
          </w:tcPr>
          <w:p w14:paraId="3E1F18BF" w14:textId="6BF7827B" w:rsidR="00C9781D" w:rsidRPr="00C9781D" w:rsidRDefault="00E60BE3"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E60BE3">
              <w:rPr>
                <w:rFonts w:eastAsia="Times New Roman" w:cs="Segoe UI"/>
                <w:color w:val="000000"/>
                <w:lang w:val="es-CO" w:eastAsia="es-CO"/>
              </w:rPr>
              <w:t>91.6%</w:t>
            </w:r>
          </w:p>
        </w:tc>
      </w:tr>
      <w:tr w:rsidR="00C9781D" w:rsidRPr="00C9781D" w14:paraId="353D2F08"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45EA9C79"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docentes de planta</w:t>
            </w:r>
          </w:p>
        </w:tc>
        <w:tc>
          <w:tcPr>
            <w:tcW w:w="539" w:type="pct"/>
            <w:noWrap/>
            <w:hideMark/>
          </w:tcPr>
          <w:p w14:paraId="5481A71F"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247</w:t>
            </w:r>
          </w:p>
        </w:tc>
        <w:tc>
          <w:tcPr>
            <w:tcW w:w="558" w:type="pct"/>
            <w:noWrap/>
            <w:hideMark/>
          </w:tcPr>
          <w:p w14:paraId="0CF52FF3"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287</w:t>
            </w:r>
          </w:p>
        </w:tc>
      </w:tr>
      <w:tr w:rsidR="00C9781D" w:rsidRPr="00C9781D" w14:paraId="2E1369C7"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074210C3"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docentes ocasionales</w:t>
            </w:r>
          </w:p>
        </w:tc>
        <w:tc>
          <w:tcPr>
            <w:tcW w:w="539" w:type="pct"/>
            <w:noWrap/>
            <w:hideMark/>
          </w:tcPr>
          <w:p w14:paraId="0C89CDED"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71</w:t>
            </w:r>
          </w:p>
        </w:tc>
        <w:tc>
          <w:tcPr>
            <w:tcW w:w="558" w:type="pct"/>
            <w:noWrap/>
            <w:hideMark/>
          </w:tcPr>
          <w:p w14:paraId="1DADC2B5"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14</w:t>
            </w:r>
          </w:p>
        </w:tc>
      </w:tr>
      <w:tr w:rsidR="00C9781D" w:rsidRPr="00C9781D" w14:paraId="2C69A074"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39CDD0D5"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docentes catedráticos</w:t>
            </w:r>
          </w:p>
        </w:tc>
        <w:tc>
          <w:tcPr>
            <w:tcW w:w="539" w:type="pct"/>
            <w:noWrap/>
            <w:hideMark/>
          </w:tcPr>
          <w:p w14:paraId="27D1578B"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598</w:t>
            </w:r>
          </w:p>
        </w:tc>
        <w:tc>
          <w:tcPr>
            <w:tcW w:w="558" w:type="pct"/>
            <w:noWrap/>
            <w:hideMark/>
          </w:tcPr>
          <w:p w14:paraId="25183302"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661</w:t>
            </w:r>
          </w:p>
        </w:tc>
      </w:tr>
      <w:tr w:rsidR="00C9781D" w:rsidRPr="00C9781D" w14:paraId="7222DF3E"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6B3D5BFA"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docentes con título de Doctor</w:t>
            </w:r>
          </w:p>
        </w:tc>
        <w:tc>
          <w:tcPr>
            <w:tcW w:w="539" w:type="pct"/>
            <w:noWrap/>
            <w:hideMark/>
          </w:tcPr>
          <w:p w14:paraId="2BFE7DDB"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57</w:t>
            </w:r>
          </w:p>
        </w:tc>
        <w:tc>
          <w:tcPr>
            <w:tcW w:w="558" w:type="pct"/>
            <w:noWrap/>
            <w:hideMark/>
          </w:tcPr>
          <w:p w14:paraId="5D2F1419"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71</w:t>
            </w:r>
          </w:p>
        </w:tc>
      </w:tr>
      <w:tr w:rsidR="00C9781D" w:rsidRPr="00C9781D" w14:paraId="44EE1DB3"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3EDB3766"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docentes con título de Maestría</w:t>
            </w:r>
          </w:p>
        </w:tc>
        <w:tc>
          <w:tcPr>
            <w:tcW w:w="539" w:type="pct"/>
            <w:noWrap/>
            <w:hideMark/>
          </w:tcPr>
          <w:p w14:paraId="7AE910DA"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149</w:t>
            </w:r>
          </w:p>
        </w:tc>
        <w:tc>
          <w:tcPr>
            <w:tcW w:w="558" w:type="pct"/>
            <w:noWrap/>
            <w:hideMark/>
          </w:tcPr>
          <w:p w14:paraId="5A38825D"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187</w:t>
            </w:r>
          </w:p>
        </w:tc>
      </w:tr>
      <w:tr w:rsidR="00C9781D" w:rsidRPr="00C9781D" w14:paraId="70C2489A"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7DF635CA"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docentes con título de Especialista</w:t>
            </w:r>
          </w:p>
        </w:tc>
        <w:tc>
          <w:tcPr>
            <w:tcW w:w="539" w:type="pct"/>
            <w:noWrap/>
            <w:hideMark/>
          </w:tcPr>
          <w:p w14:paraId="697A7773"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35</w:t>
            </w:r>
          </w:p>
        </w:tc>
        <w:tc>
          <w:tcPr>
            <w:tcW w:w="558" w:type="pct"/>
            <w:noWrap/>
            <w:hideMark/>
          </w:tcPr>
          <w:p w14:paraId="1A45545E"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27</w:t>
            </w:r>
          </w:p>
        </w:tc>
      </w:tr>
      <w:tr w:rsidR="00C9781D" w:rsidRPr="00C9781D" w14:paraId="125F1AA5"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68682D76"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docentes con título de Profesional</w:t>
            </w:r>
          </w:p>
        </w:tc>
        <w:tc>
          <w:tcPr>
            <w:tcW w:w="539" w:type="pct"/>
            <w:noWrap/>
            <w:hideMark/>
          </w:tcPr>
          <w:p w14:paraId="7FA4E8E5"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6</w:t>
            </w:r>
          </w:p>
        </w:tc>
        <w:tc>
          <w:tcPr>
            <w:tcW w:w="558" w:type="pct"/>
            <w:noWrap/>
            <w:hideMark/>
          </w:tcPr>
          <w:p w14:paraId="7487A202"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w:t>
            </w:r>
          </w:p>
        </w:tc>
      </w:tr>
      <w:tr w:rsidR="00C9781D" w:rsidRPr="00C9781D" w14:paraId="51AF30B0"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658DDF6A"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Grupos de investigación categorizados por Colciencias</w:t>
            </w:r>
          </w:p>
        </w:tc>
        <w:tc>
          <w:tcPr>
            <w:tcW w:w="539" w:type="pct"/>
            <w:noWrap/>
            <w:hideMark/>
          </w:tcPr>
          <w:p w14:paraId="0EC0DD8C"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40</w:t>
            </w:r>
          </w:p>
        </w:tc>
        <w:tc>
          <w:tcPr>
            <w:tcW w:w="558" w:type="pct"/>
            <w:noWrap/>
            <w:hideMark/>
          </w:tcPr>
          <w:p w14:paraId="17FFF6E3"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41</w:t>
            </w:r>
          </w:p>
        </w:tc>
      </w:tr>
      <w:tr w:rsidR="00C9781D" w:rsidRPr="00C9781D" w14:paraId="4F05862F"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48EBC20E"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Investigadores reconocidos</w:t>
            </w:r>
          </w:p>
        </w:tc>
        <w:tc>
          <w:tcPr>
            <w:tcW w:w="539" w:type="pct"/>
            <w:noWrap/>
            <w:hideMark/>
          </w:tcPr>
          <w:p w14:paraId="17805F11"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67</w:t>
            </w:r>
          </w:p>
        </w:tc>
        <w:tc>
          <w:tcPr>
            <w:tcW w:w="558" w:type="pct"/>
            <w:noWrap/>
            <w:hideMark/>
          </w:tcPr>
          <w:p w14:paraId="32CBC9B2"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93</w:t>
            </w:r>
          </w:p>
        </w:tc>
      </w:tr>
      <w:tr w:rsidR="00C9781D" w:rsidRPr="00C9781D" w14:paraId="51005EE4"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21F98EB8"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lastRenderedPageBreak/>
              <w:t>Número de jóvenes investigadores</w:t>
            </w:r>
          </w:p>
        </w:tc>
        <w:tc>
          <w:tcPr>
            <w:tcW w:w="539" w:type="pct"/>
            <w:noWrap/>
            <w:hideMark/>
          </w:tcPr>
          <w:p w14:paraId="7DE4F3EB"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4</w:t>
            </w:r>
          </w:p>
        </w:tc>
        <w:tc>
          <w:tcPr>
            <w:tcW w:w="558" w:type="pct"/>
            <w:noWrap/>
            <w:hideMark/>
          </w:tcPr>
          <w:p w14:paraId="536E7EB9"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5</w:t>
            </w:r>
          </w:p>
        </w:tc>
      </w:tr>
      <w:tr w:rsidR="00C9781D" w:rsidRPr="00C9781D" w14:paraId="31F2746D"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164528F2" w14:textId="09450FEA"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 xml:space="preserve">Número de </w:t>
            </w:r>
            <w:r w:rsidR="00B45699" w:rsidRPr="00C9781D">
              <w:rPr>
                <w:rFonts w:eastAsia="Times New Roman" w:cs="Segoe UI"/>
                <w:color w:val="000000"/>
                <w:lang w:val="es-CO" w:eastAsia="es-CO"/>
              </w:rPr>
              <w:t>artículos</w:t>
            </w:r>
            <w:r w:rsidRPr="00C9781D">
              <w:rPr>
                <w:rFonts w:eastAsia="Times New Roman" w:cs="Segoe UI"/>
                <w:color w:val="000000"/>
                <w:lang w:val="es-CO" w:eastAsia="es-CO"/>
              </w:rPr>
              <w:t xml:space="preserve"> publicados en Revistas indexadas</w:t>
            </w:r>
          </w:p>
        </w:tc>
        <w:tc>
          <w:tcPr>
            <w:tcW w:w="539" w:type="pct"/>
            <w:noWrap/>
            <w:hideMark/>
          </w:tcPr>
          <w:p w14:paraId="764096C4"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184</w:t>
            </w:r>
          </w:p>
        </w:tc>
        <w:tc>
          <w:tcPr>
            <w:tcW w:w="558" w:type="pct"/>
            <w:noWrap/>
            <w:hideMark/>
          </w:tcPr>
          <w:p w14:paraId="26E4C8A7"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234</w:t>
            </w:r>
          </w:p>
        </w:tc>
      </w:tr>
      <w:tr w:rsidR="00C9781D" w:rsidRPr="00C9781D" w14:paraId="0D2097F1"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3D69578F"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Revistas indexadas en Colciencias</w:t>
            </w:r>
          </w:p>
        </w:tc>
        <w:tc>
          <w:tcPr>
            <w:tcW w:w="539" w:type="pct"/>
            <w:noWrap/>
            <w:hideMark/>
          </w:tcPr>
          <w:p w14:paraId="0D50DA40"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3</w:t>
            </w:r>
          </w:p>
        </w:tc>
        <w:tc>
          <w:tcPr>
            <w:tcW w:w="558" w:type="pct"/>
            <w:noWrap/>
            <w:hideMark/>
          </w:tcPr>
          <w:p w14:paraId="71D17FCC"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w:t>
            </w:r>
          </w:p>
        </w:tc>
      </w:tr>
      <w:tr w:rsidR="00C9781D" w:rsidRPr="00C9781D" w14:paraId="2FFE0C91"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3671C282" w14:textId="019D197E"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 xml:space="preserve">Posición Ranking QS IES Públicas </w:t>
            </w:r>
            <w:r w:rsidR="00B45699" w:rsidRPr="00C9781D">
              <w:rPr>
                <w:rFonts w:eastAsia="Times New Roman" w:cs="Segoe UI"/>
                <w:color w:val="000000"/>
                <w:lang w:val="es-CO" w:eastAsia="es-CO"/>
              </w:rPr>
              <w:t>Región</w:t>
            </w:r>
          </w:p>
        </w:tc>
        <w:tc>
          <w:tcPr>
            <w:tcW w:w="539" w:type="pct"/>
            <w:noWrap/>
            <w:hideMark/>
          </w:tcPr>
          <w:p w14:paraId="453FB36B"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w:t>
            </w:r>
          </w:p>
        </w:tc>
        <w:tc>
          <w:tcPr>
            <w:tcW w:w="558" w:type="pct"/>
            <w:noWrap/>
            <w:hideMark/>
          </w:tcPr>
          <w:p w14:paraId="37D2E092"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1</w:t>
            </w:r>
          </w:p>
        </w:tc>
      </w:tr>
      <w:tr w:rsidR="00C9781D" w:rsidRPr="00C9781D" w14:paraId="5BB77A6F"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48FA282D"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Convenios Internacionales vigentes</w:t>
            </w:r>
          </w:p>
        </w:tc>
        <w:tc>
          <w:tcPr>
            <w:tcW w:w="539" w:type="pct"/>
            <w:noWrap/>
            <w:hideMark/>
          </w:tcPr>
          <w:p w14:paraId="3FE41ACB"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47</w:t>
            </w:r>
          </w:p>
        </w:tc>
        <w:tc>
          <w:tcPr>
            <w:tcW w:w="558" w:type="pct"/>
            <w:noWrap/>
            <w:hideMark/>
          </w:tcPr>
          <w:p w14:paraId="2CE4AC6C"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68</w:t>
            </w:r>
          </w:p>
        </w:tc>
      </w:tr>
      <w:tr w:rsidR="00C9781D" w:rsidRPr="00C9781D" w14:paraId="1E5B21D1"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28E0CDF1"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estudiantes en movilidad saliente</w:t>
            </w:r>
          </w:p>
        </w:tc>
        <w:tc>
          <w:tcPr>
            <w:tcW w:w="539" w:type="pct"/>
            <w:noWrap/>
            <w:hideMark/>
          </w:tcPr>
          <w:p w14:paraId="53495351"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20</w:t>
            </w:r>
          </w:p>
        </w:tc>
        <w:tc>
          <w:tcPr>
            <w:tcW w:w="558" w:type="pct"/>
            <w:noWrap/>
            <w:hideMark/>
          </w:tcPr>
          <w:p w14:paraId="3F0E302E"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22</w:t>
            </w:r>
          </w:p>
        </w:tc>
      </w:tr>
      <w:tr w:rsidR="00C9781D" w:rsidRPr="00C9781D" w14:paraId="01D10616"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292CFEE2"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Número de profesores en movilidad saliente</w:t>
            </w:r>
          </w:p>
        </w:tc>
        <w:tc>
          <w:tcPr>
            <w:tcW w:w="539" w:type="pct"/>
            <w:noWrap/>
            <w:hideMark/>
          </w:tcPr>
          <w:p w14:paraId="3E3AE12B"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23</w:t>
            </w:r>
          </w:p>
        </w:tc>
        <w:tc>
          <w:tcPr>
            <w:tcW w:w="558" w:type="pct"/>
            <w:noWrap/>
            <w:hideMark/>
          </w:tcPr>
          <w:p w14:paraId="73DD09E2"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58</w:t>
            </w:r>
          </w:p>
        </w:tc>
      </w:tr>
      <w:tr w:rsidR="00C9781D" w:rsidRPr="00C9781D" w14:paraId="0FBD31F9"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4AE32B85"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Programas en proceso de Acreditación Internacional</w:t>
            </w:r>
          </w:p>
        </w:tc>
        <w:tc>
          <w:tcPr>
            <w:tcW w:w="539" w:type="pct"/>
            <w:noWrap/>
            <w:hideMark/>
          </w:tcPr>
          <w:p w14:paraId="080969A2"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0</w:t>
            </w:r>
          </w:p>
        </w:tc>
        <w:tc>
          <w:tcPr>
            <w:tcW w:w="558" w:type="pct"/>
            <w:noWrap/>
            <w:hideMark/>
          </w:tcPr>
          <w:p w14:paraId="6C262DF0" w14:textId="77777777" w:rsidR="00C9781D" w:rsidRPr="00C9781D" w:rsidRDefault="00C9781D"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2</w:t>
            </w:r>
          </w:p>
        </w:tc>
      </w:tr>
      <w:tr w:rsidR="00C9781D" w:rsidRPr="00C9781D" w14:paraId="43F1ECBB" w14:textId="77777777" w:rsidTr="00C9781D">
        <w:trPr>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6832D294" w14:textId="77777777" w:rsidR="00C9781D" w:rsidRPr="00C9781D" w:rsidRDefault="00C9781D" w:rsidP="00D42684">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m2 construidos</w:t>
            </w:r>
          </w:p>
        </w:tc>
        <w:tc>
          <w:tcPr>
            <w:tcW w:w="539" w:type="pct"/>
            <w:noWrap/>
            <w:hideMark/>
          </w:tcPr>
          <w:p w14:paraId="00C56FA8"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59,096</w:t>
            </w:r>
          </w:p>
        </w:tc>
        <w:tc>
          <w:tcPr>
            <w:tcW w:w="558" w:type="pct"/>
            <w:noWrap/>
            <w:hideMark/>
          </w:tcPr>
          <w:p w14:paraId="3159251F" w14:textId="77777777" w:rsidR="00C9781D" w:rsidRPr="00C9781D" w:rsidRDefault="00C9781D" w:rsidP="00B45699">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CO" w:eastAsia="es-CO"/>
              </w:rPr>
            </w:pPr>
            <w:r w:rsidRPr="00C9781D">
              <w:rPr>
                <w:rFonts w:eastAsia="Times New Roman" w:cs="Segoe UI"/>
                <w:color w:val="000000"/>
                <w:lang w:val="es-CO" w:eastAsia="es-CO"/>
              </w:rPr>
              <w:t>60,520</w:t>
            </w:r>
          </w:p>
        </w:tc>
      </w:tr>
      <w:tr w:rsidR="00B45699" w:rsidRPr="00C9781D" w14:paraId="37D33A64" w14:textId="77777777" w:rsidTr="00C9781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903" w:type="pct"/>
            <w:noWrap/>
            <w:hideMark/>
          </w:tcPr>
          <w:p w14:paraId="33139870" w14:textId="510BD34F" w:rsidR="00B45699" w:rsidRPr="00C9781D" w:rsidRDefault="00B45699" w:rsidP="00B45699">
            <w:pPr>
              <w:spacing w:before="0" w:after="0" w:line="276" w:lineRule="auto"/>
              <w:jc w:val="both"/>
              <w:rPr>
                <w:rFonts w:eastAsia="Times New Roman" w:cs="Segoe UI"/>
                <w:color w:val="000000"/>
                <w:lang w:val="es-CO" w:eastAsia="es-CO"/>
              </w:rPr>
            </w:pPr>
            <w:r w:rsidRPr="00C9781D">
              <w:rPr>
                <w:rFonts w:eastAsia="Times New Roman" w:cs="Segoe UI"/>
                <w:color w:val="000000"/>
                <w:lang w:val="es-CO" w:eastAsia="es-CO"/>
              </w:rPr>
              <w:t>Obsolescencia de equipos de cómputo</w:t>
            </w:r>
          </w:p>
        </w:tc>
        <w:tc>
          <w:tcPr>
            <w:tcW w:w="539" w:type="pct"/>
            <w:noWrap/>
            <w:hideMark/>
          </w:tcPr>
          <w:p w14:paraId="11CBE266" w14:textId="1D89918B" w:rsidR="00B45699" w:rsidRPr="00C9781D" w:rsidRDefault="00B45699"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1B30FB">
              <w:t>50%</w:t>
            </w:r>
          </w:p>
        </w:tc>
        <w:tc>
          <w:tcPr>
            <w:tcW w:w="558" w:type="pct"/>
            <w:noWrap/>
            <w:hideMark/>
          </w:tcPr>
          <w:p w14:paraId="55B91122" w14:textId="64E6932C" w:rsidR="00B45699" w:rsidRPr="00C9781D" w:rsidRDefault="00B45699" w:rsidP="00B45699">
            <w:pPr>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CO" w:eastAsia="es-CO"/>
              </w:rPr>
            </w:pPr>
            <w:r w:rsidRPr="001B30FB">
              <w:t>16%</w:t>
            </w:r>
          </w:p>
        </w:tc>
      </w:tr>
    </w:tbl>
    <w:p w14:paraId="195A3606" w14:textId="15E6DF8E" w:rsidR="00C9781D" w:rsidRDefault="00B45699" w:rsidP="00B45699">
      <w:pPr>
        <w:spacing w:line="276" w:lineRule="auto"/>
        <w:jc w:val="center"/>
        <w:rPr>
          <w:lang w:val="es-CO"/>
        </w:rPr>
      </w:pPr>
      <w:r>
        <w:rPr>
          <w:b/>
          <w:lang w:val="es-CO"/>
        </w:rPr>
        <w:t xml:space="preserve">Fuente: </w:t>
      </w:r>
      <w:r>
        <w:rPr>
          <w:lang w:val="es-CO"/>
        </w:rPr>
        <w:t>Unidad de Planeación y Desarrollo – Universidad de Córdoba</w:t>
      </w:r>
    </w:p>
    <w:p w14:paraId="3078AC37" w14:textId="31D9B1CB" w:rsidR="00064D22" w:rsidRDefault="00B45699" w:rsidP="00F62BDD">
      <w:pPr>
        <w:spacing w:line="276" w:lineRule="auto"/>
        <w:jc w:val="both"/>
        <w:rPr>
          <w:lang w:val="es-CO"/>
        </w:rPr>
      </w:pPr>
      <w:r>
        <w:rPr>
          <w:lang w:val="es-CO"/>
        </w:rPr>
        <w:t xml:space="preserve">Por otra parte, en materia de investigación la institución ha presentado avances de igual manera, actualmente cuenta con 41 grupos de investigación categorizados por Colciencias, 93 investigadores reconocidos y una revista indexada en Colciencias. Además, durante 2017 la universidad publicó 234 artículos en revistas indexadas. </w:t>
      </w:r>
    </w:p>
    <w:p w14:paraId="648A7E38" w14:textId="555A56FA" w:rsidR="005A6902" w:rsidRDefault="005A6902" w:rsidP="000B2089">
      <w:pPr>
        <w:spacing w:line="276" w:lineRule="auto"/>
        <w:jc w:val="both"/>
        <w:rPr>
          <w:lang w:val="es-CO"/>
        </w:rPr>
      </w:pPr>
      <w:r w:rsidRPr="000B2089">
        <w:rPr>
          <w:lang w:val="es-CO"/>
        </w:rPr>
        <w:t>Los gastos en educación permiten formar capital humano y contribuye</w:t>
      </w:r>
      <w:r w:rsidR="000B2089" w:rsidRPr="000B2089">
        <w:rPr>
          <w:lang w:val="es-CO"/>
        </w:rPr>
        <w:t>n</w:t>
      </w:r>
      <w:r w:rsidRPr="000B2089">
        <w:rPr>
          <w:lang w:val="es-CO"/>
        </w:rPr>
        <w:t xml:space="preserve"> a la productividad, además de tener un impacto positivo en el ingreso de las personas. Córdoba es el quinto departamento con mayor incidencia de la pobreza, después de Choco, Cauca, La G</w:t>
      </w:r>
      <w:r w:rsidR="000B2089" w:rsidRPr="000B2089">
        <w:rPr>
          <w:lang w:val="es-CO"/>
        </w:rPr>
        <w:t xml:space="preserve">uajira y Magdalena; con un indicador del 46%, además su población tiene un ingreso per cápita promedio de $662,751 en 2017, inferior al salario mínimo para el mismo año. </w:t>
      </w:r>
      <w:r w:rsidR="000B2089">
        <w:rPr>
          <w:lang w:val="es-CO"/>
        </w:rPr>
        <w:t>En la actualidad, más del 80% de los estudiantes</w:t>
      </w:r>
      <w:r w:rsidR="00856D76">
        <w:rPr>
          <w:lang w:val="es-CO"/>
        </w:rPr>
        <w:t xml:space="preserve"> de la Universidad de Córdoba</w:t>
      </w:r>
      <w:r w:rsidR="000B2089">
        <w:rPr>
          <w:lang w:val="es-CO"/>
        </w:rPr>
        <w:t xml:space="preserve"> pertenecen a estrato 1, cifra que ha venido en ascenso desde 2005, </w:t>
      </w:r>
      <w:r w:rsidR="00856D76">
        <w:rPr>
          <w:lang w:val="es-CO"/>
        </w:rPr>
        <w:t xml:space="preserve">lo cual demuestra que la institución </w:t>
      </w:r>
      <w:r w:rsidR="00CD39AF">
        <w:rPr>
          <w:lang w:val="es-CO"/>
        </w:rPr>
        <w:t>es la primera opción para que muchos jóvenes de escasos recursos accedan a la educación superior</w:t>
      </w:r>
    </w:p>
    <w:p w14:paraId="4AB73ED4" w14:textId="326A346C" w:rsidR="00D603A9" w:rsidRPr="000B2089" w:rsidRDefault="00D603A9" w:rsidP="00D603A9">
      <w:pPr>
        <w:pStyle w:val="Ttulo1"/>
        <w:jc w:val="center"/>
        <w:rPr>
          <w:lang w:val="es-CO"/>
        </w:rPr>
      </w:pPr>
      <w:r>
        <w:rPr>
          <w:lang w:val="es-CO"/>
        </w:rPr>
        <w:t>Gráfico 1. Estudiantes Universidad de Córdoba por estrato</w:t>
      </w:r>
    </w:p>
    <w:p w14:paraId="6B6C341C" w14:textId="1E50A755" w:rsidR="005A6902" w:rsidRDefault="000B2089" w:rsidP="005A6902">
      <w:r>
        <w:rPr>
          <w:noProof/>
          <w:lang w:val="es-CO" w:eastAsia="es-CO"/>
        </w:rPr>
        <w:drawing>
          <wp:inline distT="0" distB="0" distL="0" distR="0" wp14:anchorId="17302459" wp14:editId="54D4D6E8">
            <wp:extent cx="5610225" cy="2038350"/>
            <wp:effectExtent l="0" t="0" r="9525" b="19050"/>
            <wp:docPr id="6" name="Gráfico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6C228C" w14:textId="77777777" w:rsidR="00D603A9" w:rsidRDefault="00D603A9" w:rsidP="00D603A9">
      <w:pPr>
        <w:spacing w:line="276" w:lineRule="auto"/>
        <w:jc w:val="center"/>
        <w:rPr>
          <w:lang w:val="es-CO"/>
        </w:rPr>
      </w:pPr>
      <w:r>
        <w:rPr>
          <w:b/>
          <w:lang w:val="es-CO"/>
        </w:rPr>
        <w:t xml:space="preserve">Fuente: </w:t>
      </w:r>
      <w:r>
        <w:rPr>
          <w:lang w:val="es-CO"/>
        </w:rPr>
        <w:t>Unidad de Planeación y Desarrollo – Universidad de Córdoba</w:t>
      </w:r>
    </w:p>
    <w:p w14:paraId="33EA0F74" w14:textId="3E626A8A" w:rsidR="00D603A9" w:rsidRDefault="00EE679D" w:rsidP="00D603A9">
      <w:pPr>
        <w:spacing w:line="276" w:lineRule="auto"/>
        <w:jc w:val="both"/>
        <w:rPr>
          <w:lang w:val="es-CO"/>
        </w:rPr>
      </w:pPr>
      <w:r>
        <w:rPr>
          <w:lang w:val="es-CO"/>
        </w:rPr>
        <w:t xml:space="preserve">El mejoramiento de la Universidad de Córdoba se puede apreciar en el aumento de la planta de personal. Como se muestra a continuación, los profesores de planta pasaron de ser 179 en el primer semestre del año 2000 a 290 en el primer semestre del año 2018, con una tasa de crecimiento interanual promedio de </w:t>
      </w:r>
      <w:r w:rsidR="00D47A0E">
        <w:rPr>
          <w:lang w:val="es-CO"/>
        </w:rPr>
        <w:t>2.9%</w:t>
      </w:r>
      <w:r w:rsidR="0097100D">
        <w:rPr>
          <w:lang w:val="es-CO"/>
        </w:rPr>
        <w:t xml:space="preserve">. Sin embargo, la vinculación de profesores de planta no ha crecido en la misma proporción que los profesores de </w:t>
      </w:r>
      <w:r w:rsidR="00CD39AF">
        <w:rPr>
          <w:lang w:val="es-CO"/>
        </w:rPr>
        <w:t>cátedra</w:t>
      </w:r>
      <w:r w:rsidR="0097100D">
        <w:rPr>
          <w:lang w:val="es-CO"/>
        </w:rPr>
        <w:t xml:space="preserve"> porque esto implica a</w:t>
      </w:r>
      <w:r w:rsidR="00CD39AF">
        <w:rPr>
          <w:lang w:val="es-CO"/>
        </w:rPr>
        <w:t>ltos costos para la universidad. Por otra parte</w:t>
      </w:r>
      <w:r w:rsidR="0097100D">
        <w:rPr>
          <w:lang w:val="es-CO"/>
        </w:rPr>
        <w:t xml:space="preserve">, la cantidad de profesores ocasionales que en el año 2000 era igual a los profesores de cátedra se ha venido reduciendo y actualmente solamente hay 16 profesores con esta modalidad en la institución. </w:t>
      </w:r>
    </w:p>
    <w:p w14:paraId="7539453F" w14:textId="4680E678" w:rsidR="00CD39AF" w:rsidRDefault="00CD39AF" w:rsidP="00CD39AF">
      <w:pPr>
        <w:pStyle w:val="Ttulo1"/>
        <w:jc w:val="center"/>
        <w:rPr>
          <w:lang w:val="es-CO"/>
        </w:rPr>
      </w:pPr>
      <w:r>
        <w:rPr>
          <w:lang w:val="es-CO"/>
        </w:rPr>
        <w:t>Gráfico 2. Evolución de la planta docente</w:t>
      </w:r>
    </w:p>
    <w:p w14:paraId="614B7374" w14:textId="0354E929" w:rsidR="00D603A9" w:rsidRDefault="0097100D" w:rsidP="00D603A9">
      <w:pPr>
        <w:spacing w:line="276" w:lineRule="auto"/>
        <w:jc w:val="both"/>
        <w:rPr>
          <w:lang w:val="es-CO"/>
        </w:rPr>
      </w:pPr>
      <w:r>
        <w:rPr>
          <w:noProof/>
          <w:lang w:val="es-CO" w:eastAsia="es-CO"/>
        </w:rPr>
        <w:drawing>
          <wp:inline distT="0" distB="0" distL="0" distR="0" wp14:anchorId="6B817D98" wp14:editId="738A2754">
            <wp:extent cx="5619750" cy="207645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B6970D" w14:textId="77777777" w:rsidR="00CD39AF" w:rsidRDefault="00CD39AF" w:rsidP="00CD39AF">
      <w:pPr>
        <w:spacing w:line="276" w:lineRule="auto"/>
        <w:jc w:val="center"/>
        <w:rPr>
          <w:lang w:val="es-CO"/>
        </w:rPr>
      </w:pPr>
      <w:r>
        <w:rPr>
          <w:b/>
          <w:lang w:val="es-CO"/>
        </w:rPr>
        <w:t xml:space="preserve">Fuente: </w:t>
      </w:r>
      <w:r>
        <w:rPr>
          <w:lang w:val="es-CO"/>
        </w:rPr>
        <w:t>Unidad de Planeación y Desarrollo – Universidad de Córdoba</w:t>
      </w:r>
    </w:p>
    <w:p w14:paraId="0F136B4F" w14:textId="1F933F17" w:rsidR="00005751" w:rsidRDefault="00005751" w:rsidP="00005751">
      <w:pPr>
        <w:spacing w:line="276" w:lineRule="auto"/>
        <w:jc w:val="both"/>
        <w:rPr>
          <w:lang w:val="es-CO"/>
        </w:rPr>
      </w:pPr>
      <w:r>
        <w:rPr>
          <w:lang w:val="es-CO"/>
        </w:rPr>
        <w:t xml:space="preserve">Todo lo anterior hace que la Universidad de Córdoba sea una de las más importantes de la región y la más importante del departamento, además de ser un eje fundamental para la superación de la pobreza y el mejoramiento de la calidad de vida de sus habitantes. Por tal razón, se requiere del apoyo del Gobierno Nacional para continuar con el propósito de aumentar la tasa de cobertura y absorción y reducir los índices de pobreza y desigualdad. . </w:t>
      </w:r>
    </w:p>
    <w:p w14:paraId="048CFC89" w14:textId="5EAB85B6" w:rsidR="00005751" w:rsidRPr="00005751" w:rsidRDefault="00005751" w:rsidP="00005751">
      <w:pPr>
        <w:pStyle w:val="Ttulo4"/>
        <w:rPr>
          <w:lang w:val="es-CO"/>
        </w:rPr>
      </w:pPr>
      <w:r>
        <w:rPr>
          <w:lang w:val="es-CO"/>
        </w:rPr>
        <w:t xml:space="preserve">Recaudo de la estampilla Ley 382 de 1997 </w:t>
      </w:r>
    </w:p>
    <w:p w14:paraId="7B6A3116" w14:textId="59497036" w:rsidR="00D603A9" w:rsidRPr="0085613D" w:rsidRDefault="00CD39AF" w:rsidP="000C089F">
      <w:pPr>
        <w:spacing w:line="276" w:lineRule="auto"/>
        <w:jc w:val="both"/>
        <w:rPr>
          <w:sz w:val="18"/>
        </w:rPr>
      </w:pPr>
      <w:r>
        <w:t>Los</w:t>
      </w:r>
      <w:r w:rsidR="006965BF">
        <w:t xml:space="preserve"> </w:t>
      </w:r>
      <w:r w:rsidR="00D603A9">
        <w:t>cupos de acceso</w:t>
      </w:r>
      <w:r>
        <w:t xml:space="preserve"> a la educación superior</w:t>
      </w:r>
      <w:r w:rsidR="00D603A9">
        <w:t xml:space="preserve"> son limitados y existe una gran </w:t>
      </w:r>
      <w:proofErr w:type="spellStart"/>
      <w:r w:rsidR="00D603A9">
        <w:t>desfinanciación</w:t>
      </w:r>
      <w:proofErr w:type="spellEnd"/>
      <w:r w:rsidR="00D603A9">
        <w:t xml:space="preserve"> en las instituciones, por tal razón es importante que las </w:t>
      </w:r>
      <w:r w:rsidR="003B444A">
        <w:t xml:space="preserve">estampillas continúen vigentes, a pesar de que su destinación solo sea para inversión y no funcionamiento. </w:t>
      </w:r>
    </w:p>
    <w:p w14:paraId="7ED023A2" w14:textId="77777777" w:rsidR="00940DDC" w:rsidRDefault="00940DDC" w:rsidP="000C089F">
      <w:pPr>
        <w:spacing w:line="276" w:lineRule="auto"/>
        <w:jc w:val="both"/>
        <w:rPr>
          <w:lang w:val="es-CO"/>
        </w:rPr>
      </w:pPr>
      <w:r>
        <w:rPr>
          <w:lang w:val="es-CO"/>
        </w:rPr>
        <w:t xml:space="preserve">Uno de los problemas que tiene la Universidad de Córdoba es el déficit en cuentas de financiamiento, a pesar de que se ha venido reduciendo en los dos últimos años, pasando de aproximadamente $7 mil millones a $4 mil millones, la cifra sigue siendo alarmante teniendo en cuenta la importancia de la universidad. </w:t>
      </w:r>
    </w:p>
    <w:p w14:paraId="64652738" w14:textId="74A823D6" w:rsidR="00EC34FD" w:rsidRDefault="00EC34FD" w:rsidP="00EC34FD">
      <w:pPr>
        <w:pStyle w:val="Ttulo1"/>
        <w:tabs>
          <w:tab w:val="center" w:pos="4420"/>
        </w:tabs>
        <w:spacing w:before="0"/>
        <w:jc w:val="center"/>
        <w:rPr>
          <w:lang w:val="es-CO"/>
        </w:rPr>
      </w:pPr>
      <w:r>
        <w:rPr>
          <w:lang w:val="es-CO"/>
        </w:rPr>
        <w:t>Gráfico 3. Ingresos de la estampilla “Pro-Universidad de Córdoba” 1999 – 2018</w:t>
      </w:r>
    </w:p>
    <w:p w14:paraId="0146A6A7" w14:textId="0E740A8B" w:rsidR="00EC34FD" w:rsidRDefault="00EC34FD" w:rsidP="00EC34FD">
      <w:pPr>
        <w:spacing w:before="0" w:after="0" w:line="276" w:lineRule="auto"/>
        <w:jc w:val="both"/>
        <w:rPr>
          <w:lang w:val="es-CO"/>
        </w:rPr>
      </w:pPr>
      <w:r>
        <w:rPr>
          <w:noProof/>
          <w:lang w:val="es-CO" w:eastAsia="es-CO"/>
        </w:rPr>
        <w:drawing>
          <wp:inline distT="0" distB="0" distL="0" distR="0" wp14:anchorId="14C540FB" wp14:editId="262B40E4">
            <wp:extent cx="5613400" cy="2703443"/>
            <wp:effectExtent l="0" t="0" r="25400" b="2095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73C57F" w14:textId="48B1D5D0" w:rsidR="00EC34FD" w:rsidRPr="00EC34FD" w:rsidRDefault="00EC34FD" w:rsidP="00EC34FD">
      <w:pPr>
        <w:spacing w:before="0" w:after="0" w:line="276" w:lineRule="auto"/>
        <w:jc w:val="center"/>
        <w:rPr>
          <w:lang w:val="es-CO"/>
        </w:rPr>
      </w:pPr>
      <w:r>
        <w:rPr>
          <w:b/>
          <w:lang w:val="es-CO"/>
        </w:rPr>
        <w:t xml:space="preserve">Fuente: </w:t>
      </w:r>
      <w:r>
        <w:rPr>
          <w:lang w:val="es-CO"/>
        </w:rPr>
        <w:t>Unidad de Gestión y Planeación – Universidad de Córdoba</w:t>
      </w:r>
    </w:p>
    <w:p w14:paraId="70F69114" w14:textId="035B13BF" w:rsidR="000C089F" w:rsidRDefault="000C089F" w:rsidP="000C089F">
      <w:pPr>
        <w:spacing w:line="276" w:lineRule="auto"/>
        <w:jc w:val="both"/>
        <w:rPr>
          <w:lang w:val="es-CO"/>
        </w:rPr>
      </w:pPr>
      <w:r>
        <w:rPr>
          <w:lang w:val="es-CO"/>
        </w:rPr>
        <w:t>En cuanto al recaudo de la estampilla “</w:t>
      </w:r>
      <w:r w:rsidRPr="000C089F">
        <w:rPr>
          <w:lang w:val="es-CO"/>
        </w:rPr>
        <w:t>Pro-Desarrollo Académico y Descentralización de Servicios Educativos de la Universidad de Córdoba</w:t>
      </w:r>
      <w:r>
        <w:rPr>
          <w:lang w:val="es-CO"/>
        </w:rPr>
        <w:t xml:space="preserve">”, implementada por la Ley 382 de 1997, se ha logrado recaudar a julio de 2018 $99,887 millones. Como se observa en el Gráfico 3 durante el periodo 2012 – 2016 el recaudo de la estampilla aumento considerablemente, alcanzando su nivel mayor en el año 2016 con un </w:t>
      </w:r>
      <w:r w:rsidR="002A0792">
        <w:rPr>
          <w:lang w:val="es-CO"/>
        </w:rPr>
        <w:t xml:space="preserve">valor de </w:t>
      </w:r>
      <w:r>
        <w:rPr>
          <w:lang w:val="es-CO"/>
        </w:rPr>
        <w:t xml:space="preserve">$19.3 miles de millones, desde ese año el recaudo ha venido disminuyendo, sin embargo, los ingresos que recibe la universidad por concepto de la estampilla son altos y determinantes para garantizar su adecuado funcionamiento. </w:t>
      </w:r>
    </w:p>
    <w:p w14:paraId="166D88FB" w14:textId="032CB31E" w:rsidR="00D50350" w:rsidRDefault="00EC34FD" w:rsidP="006965BF">
      <w:pPr>
        <w:spacing w:line="276" w:lineRule="auto"/>
        <w:jc w:val="both"/>
        <w:rPr>
          <w:lang w:val="es-CO"/>
        </w:rPr>
      </w:pPr>
      <w:r>
        <w:rPr>
          <w:lang w:val="es-CO"/>
        </w:rPr>
        <w:t>Los recursos provenientes de la estampilla han sido utilizados pa</w:t>
      </w:r>
      <w:r w:rsidR="006965BF">
        <w:rPr>
          <w:lang w:val="es-CO"/>
        </w:rPr>
        <w:t>ra inversión en infraestructura, dentro de las cuales está la bibliográfica, la física y la técnica. Para 2018 la mayor inversión con los ingresos de la estampilla han sido para inversión en infraestructura física.</w:t>
      </w:r>
      <w:r w:rsidR="00D50350">
        <w:rPr>
          <w:lang w:val="es-CO"/>
        </w:rPr>
        <w:t xml:space="preserve"> </w:t>
      </w:r>
    </w:p>
    <w:p w14:paraId="49C9A0CA" w14:textId="065B2D93" w:rsidR="006965BF" w:rsidRDefault="006965BF" w:rsidP="006965BF">
      <w:pPr>
        <w:pStyle w:val="Ttulo1"/>
        <w:jc w:val="center"/>
        <w:rPr>
          <w:lang w:val="es-CO"/>
        </w:rPr>
      </w:pPr>
      <w:r>
        <w:rPr>
          <w:lang w:val="es-CO"/>
        </w:rPr>
        <w:t xml:space="preserve">Tabla 2. Inversiones con recursos de estampilla por tipo de proyecto </w:t>
      </w:r>
      <w:r>
        <w:rPr>
          <w:lang w:val="es-CO"/>
        </w:rPr>
        <w:br/>
        <w:t>2013 - 2018</w:t>
      </w:r>
    </w:p>
    <w:tbl>
      <w:tblPr>
        <w:tblStyle w:val="Tabladecuadrcula4-nfasis11"/>
        <w:tblW w:w="5000" w:type="pct"/>
        <w:tblLook w:val="04A0" w:firstRow="1" w:lastRow="0" w:firstColumn="1" w:lastColumn="0" w:noHBand="0" w:noVBand="1"/>
      </w:tblPr>
      <w:tblGrid>
        <w:gridCol w:w="1838"/>
        <w:gridCol w:w="1187"/>
        <w:gridCol w:w="1220"/>
        <w:gridCol w:w="1187"/>
        <w:gridCol w:w="1219"/>
        <w:gridCol w:w="1219"/>
        <w:gridCol w:w="1186"/>
      </w:tblGrid>
      <w:tr w:rsidR="006965BF" w:rsidRPr="006965BF" w14:paraId="1561EBBB" w14:textId="77777777" w:rsidTr="006965B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14E4226D" w14:textId="77777777" w:rsidR="006965BF" w:rsidRPr="006965BF" w:rsidRDefault="006965BF" w:rsidP="006965BF">
            <w:pPr>
              <w:spacing w:before="0" w:after="0"/>
              <w:jc w:val="center"/>
              <w:rPr>
                <w:rFonts w:cs="Segoe UI"/>
              </w:rPr>
            </w:pPr>
            <w:r w:rsidRPr="006965BF">
              <w:rPr>
                <w:rFonts w:cs="Segoe UI"/>
                <w:bCs w:val="0"/>
              </w:rPr>
              <w:t>TIPO DE PROYECTO</w:t>
            </w:r>
          </w:p>
        </w:tc>
        <w:tc>
          <w:tcPr>
            <w:tcW w:w="655" w:type="pct"/>
            <w:hideMark/>
          </w:tcPr>
          <w:p w14:paraId="0F095E6E" w14:textId="77777777" w:rsidR="006965BF" w:rsidRPr="006965BF" w:rsidRDefault="006965BF" w:rsidP="006965BF">
            <w:pPr>
              <w:spacing w:before="0" w:after="0"/>
              <w:jc w:val="center"/>
              <w:cnfStyle w:val="100000000000" w:firstRow="1" w:lastRow="0" w:firstColumn="0" w:lastColumn="0" w:oddVBand="0" w:evenVBand="0" w:oddHBand="0" w:evenHBand="0" w:firstRowFirstColumn="0" w:firstRowLastColumn="0" w:lastRowFirstColumn="0" w:lastRowLastColumn="0"/>
              <w:rPr>
                <w:rFonts w:cs="Segoe UI"/>
              </w:rPr>
            </w:pPr>
            <w:r w:rsidRPr="006965BF">
              <w:rPr>
                <w:rFonts w:cs="Segoe UI"/>
                <w:bCs w:val="0"/>
              </w:rPr>
              <w:t xml:space="preserve"> 2013 </w:t>
            </w:r>
          </w:p>
        </w:tc>
        <w:tc>
          <w:tcPr>
            <w:tcW w:w="673" w:type="pct"/>
            <w:hideMark/>
          </w:tcPr>
          <w:p w14:paraId="75786997" w14:textId="77777777" w:rsidR="006965BF" w:rsidRPr="006965BF" w:rsidRDefault="006965BF" w:rsidP="006965BF">
            <w:pPr>
              <w:spacing w:before="0" w:after="0"/>
              <w:jc w:val="center"/>
              <w:cnfStyle w:val="100000000000" w:firstRow="1" w:lastRow="0" w:firstColumn="0" w:lastColumn="0" w:oddVBand="0" w:evenVBand="0" w:oddHBand="0" w:evenHBand="0" w:firstRowFirstColumn="0" w:firstRowLastColumn="0" w:lastRowFirstColumn="0" w:lastRowLastColumn="0"/>
              <w:rPr>
                <w:rFonts w:cs="Segoe UI"/>
              </w:rPr>
            </w:pPr>
            <w:r w:rsidRPr="006965BF">
              <w:rPr>
                <w:rFonts w:cs="Segoe UI"/>
                <w:bCs w:val="0"/>
              </w:rPr>
              <w:t xml:space="preserve"> 2014 </w:t>
            </w:r>
          </w:p>
        </w:tc>
        <w:tc>
          <w:tcPr>
            <w:tcW w:w="655" w:type="pct"/>
            <w:hideMark/>
          </w:tcPr>
          <w:p w14:paraId="2777B893" w14:textId="77777777" w:rsidR="006965BF" w:rsidRPr="006965BF" w:rsidRDefault="006965BF" w:rsidP="006965BF">
            <w:pPr>
              <w:spacing w:before="0" w:after="0"/>
              <w:jc w:val="center"/>
              <w:cnfStyle w:val="100000000000" w:firstRow="1" w:lastRow="0" w:firstColumn="0" w:lastColumn="0" w:oddVBand="0" w:evenVBand="0" w:oddHBand="0" w:evenHBand="0" w:firstRowFirstColumn="0" w:firstRowLastColumn="0" w:lastRowFirstColumn="0" w:lastRowLastColumn="0"/>
              <w:rPr>
                <w:rFonts w:cs="Segoe UI"/>
              </w:rPr>
            </w:pPr>
            <w:r w:rsidRPr="006965BF">
              <w:rPr>
                <w:rFonts w:cs="Segoe UI"/>
                <w:bCs w:val="0"/>
              </w:rPr>
              <w:t xml:space="preserve"> 2015 </w:t>
            </w:r>
          </w:p>
        </w:tc>
        <w:tc>
          <w:tcPr>
            <w:tcW w:w="673" w:type="pct"/>
            <w:hideMark/>
          </w:tcPr>
          <w:p w14:paraId="36F0967A" w14:textId="77777777" w:rsidR="006965BF" w:rsidRPr="006965BF" w:rsidRDefault="006965BF" w:rsidP="006965BF">
            <w:pPr>
              <w:spacing w:before="0" w:after="0"/>
              <w:jc w:val="center"/>
              <w:cnfStyle w:val="100000000000" w:firstRow="1" w:lastRow="0" w:firstColumn="0" w:lastColumn="0" w:oddVBand="0" w:evenVBand="0" w:oddHBand="0" w:evenHBand="0" w:firstRowFirstColumn="0" w:firstRowLastColumn="0" w:lastRowFirstColumn="0" w:lastRowLastColumn="0"/>
              <w:rPr>
                <w:rFonts w:cs="Segoe UI"/>
              </w:rPr>
            </w:pPr>
            <w:r w:rsidRPr="006965BF">
              <w:rPr>
                <w:rFonts w:cs="Segoe UI"/>
                <w:bCs w:val="0"/>
              </w:rPr>
              <w:t xml:space="preserve"> 2016 </w:t>
            </w:r>
          </w:p>
        </w:tc>
        <w:tc>
          <w:tcPr>
            <w:tcW w:w="673" w:type="pct"/>
            <w:hideMark/>
          </w:tcPr>
          <w:p w14:paraId="46C98D34" w14:textId="77777777" w:rsidR="006965BF" w:rsidRPr="006965BF" w:rsidRDefault="006965BF" w:rsidP="006965BF">
            <w:pPr>
              <w:spacing w:before="0" w:after="0"/>
              <w:jc w:val="center"/>
              <w:cnfStyle w:val="100000000000" w:firstRow="1" w:lastRow="0" w:firstColumn="0" w:lastColumn="0" w:oddVBand="0" w:evenVBand="0" w:oddHBand="0" w:evenHBand="0" w:firstRowFirstColumn="0" w:firstRowLastColumn="0" w:lastRowFirstColumn="0" w:lastRowLastColumn="0"/>
              <w:rPr>
                <w:rFonts w:cs="Segoe UI"/>
              </w:rPr>
            </w:pPr>
            <w:r w:rsidRPr="006965BF">
              <w:rPr>
                <w:rFonts w:cs="Segoe UI"/>
                <w:bCs w:val="0"/>
              </w:rPr>
              <w:t xml:space="preserve"> 2017 </w:t>
            </w:r>
          </w:p>
        </w:tc>
        <w:tc>
          <w:tcPr>
            <w:tcW w:w="655" w:type="pct"/>
            <w:hideMark/>
          </w:tcPr>
          <w:p w14:paraId="3D3AD749" w14:textId="77777777" w:rsidR="006965BF" w:rsidRPr="006965BF" w:rsidRDefault="006965BF" w:rsidP="006965BF">
            <w:pPr>
              <w:spacing w:before="0" w:after="0"/>
              <w:jc w:val="center"/>
              <w:cnfStyle w:val="100000000000" w:firstRow="1" w:lastRow="0" w:firstColumn="0" w:lastColumn="0" w:oddVBand="0" w:evenVBand="0" w:oddHBand="0" w:evenHBand="0" w:firstRowFirstColumn="0" w:firstRowLastColumn="0" w:lastRowFirstColumn="0" w:lastRowLastColumn="0"/>
              <w:rPr>
                <w:rFonts w:cs="Segoe UI"/>
              </w:rPr>
            </w:pPr>
            <w:r w:rsidRPr="006965BF">
              <w:rPr>
                <w:rFonts w:cs="Segoe UI"/>
                <w:bCs w:val="0"/>
              </w:rPr>
              <w:t xml:space="preserve"> 2018 (A Julio) </w:t>
            </w:r>
          </w:p>
        </w:tc>
      </w:tr>
      <w:tr w:rsidR="006965BF" w:rsidRPr="006965BF" w14:paraId="7896C777" w14:textId="77777777" w:rsidTr="006965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689D2119" w14:textId="77777777" w:rsidR="006965BF" w:rsidRPr="006965BF" w:rsidRDefault="006965BF" w:rsidP="006965BF">
            <w:pPr>
              <w:spacing w:before="0" w:after="0"/>
              <w:rPr>
                <w:rFonts w:cs="Segoe UI"/>
                <w:color w:val="000000"/>
              </w:rPr>
            </w:pPr>
            <w:r w:rsidRPr="006965BF">
              <w:rPr>
                <w:rFonts w:cs="Segoe UI"/>
                <w:b w:val="0"/>
                <w:bCs w:val="0"/>
                <w:color w:val="000000"/>
              </w:rPr>
              <w:t>Adecuación</w:t>
            </w:r>
          </w:p>
        </w:tc>
        <w:tc>
          <w:tcPr>
            <w:tcW w:w="655" w:type="pct"/>
            <w:hideMark/>
          </w:tcPr>
          <w:p w14:paraId="6F0BB6D0" w14:textId="77720255"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$ 1.186</w:t>
            </w:r>
          </w:p>
        </w:tc>
        <w:tc>
          <w:tcPr>
            <w:tcW w:w="673" w:type="pct"/>
            <w:hideMark/>
          </w:tcPr>
          <w:p w14:paraId="2F7137A2" w14:textId="3832E9D7"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$ 4.815</w:t>
            </w:r>
          </w:p>
        </w:tc>
        <w:tc>
          <w:tcPr>
            <w:tcW w:w="655" w:type="pct"/>
            <w:hideMark/>
          </w:tcPr>
          <w:p w14:paraId="25701540" w14:textId="388CEE28"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$ 2.644</w:t>
            </w:r>
          </w:p>
        </w:tc>
        <w:tc>
          <w:tcPr>
            <w:tcW w:w="673" w:type="pct"/>
            <w:hideMark/>
          </w:tcPr>
          <w:p w14:paraId="57EBF218" w14:textId="3E5E06D8"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$ 3.023</w:t>
            </w:r>
          </w:p>
        </w:tc>
        <w:tc>
          <w:tcPr>
            <w:tcW w:w="673" w:type="pct"/>
            <w:hideMark/>
          </w:tcPr>
          <w:p w14:paraId="11B36541" w14:textId="0BCF051E"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$ 2.440</w:t>
            </w:r>
          </w:p>
        </w:tc>
        <w:tc>
          <w:tcPr>
            <w:tcW w:w="655" w:type="pct"/>
            <w:hideMark/>
          </w:tcPr>
          <w:p w14:paraId="2A401C9F" w14:textId="565B3C07"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$ 2.100</w:t>
            </w:r>
          </w:p>
        </w:tc>
      </w:tr>
      <w:tr w:rsidR="006965BF" w:rsidRPr="006965BF" w14:paraId="3C0B343A" w14:textId="77777777" w:rsidTr="006965BF">
        <w:trPr>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4B6F19EA" w14:textId="77777777" w:rsidR="006965BF" w:rsidRPr="006965BF" w:rsidRDefault="006965BF" w:rsidP="006965BF">
            <w:pPr>
              <w:spacing w:before="0" w:after="0"/>
              <w:rPr>
                <w:rFonts w:cs="Segoe UI"/>
                <w:color w:val="000000"/>
              </w:rPr>
            </w:pPr>
            <w:r w:rsidRPr="006965BF">
              <w:rPr>
                <w:rFonts w:cs="Segoe UI"/>
                <w:b w:val="0"/>
                <w:bCs w:val="0"/>
                <w:color w:val="000000"/>
              </w:rPr>
              <w:t>Adquisición</w:t>
            </w:r>
          </w:p>
        </w:tc>
        <w:tc>
          <w:tcPr>
            <w:tcW w:w="655" w:type="pct"/>
            <w:hideMark/>
          </w:tcPr>
          <w:p w14:paraId="0041FF40" w14:textId="6CC9E4CE"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$ 941</w:t>
            </w:r>
          </w:p>
        </w:tc>
        <w:tc>
          <w:tcPr>
            <w:tcW w:w="673" w:type="pct"/>
            <w:hideMark/>
          </w:tcPr>
          <w:p w14:paraId="7EE9FA89" w14:textId="0EBCF1BB"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$ 1.178</w:t>
            </w:r>
          </w:p>
        </w:tc>
        <w:tc>
          <w:tcPr>
            <w:tcW w:w="655" w:type="pct"/>
            <w:hideMark/>
          </w:tcPr>
          <w:p w14:paraId="713D5420" w14:textId="64EE8CF1"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$ 1.890</w:t>
            </w:r>
          </w:p>
        </w:tc>
        <w:tc>
          <w:tcPr>
            <w:tcW w:w="673" w:type="pct"/>
            <w:hideMark/>
          </w:tcPr>
          <w:p w14:paraId="58D14FAD" w14:textId="14DDB670"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$ 4.357</w:t>
            </w:r>
          </w:p>
        </w:tc>
        <w:tc>
          <w:tcPr>
            <w:tcW w:w="673" w:type="pct"/>
            <w:hideMark/>
          </w:tcPr>
          <w:p w14:paraId="70EA8A05" w14:textId="2FDF97BA"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$ 4.096</w:t>
            </w:r>
          </w:p>
        </w:tc>
        <w:tc>
          <w:tcPr>
            <w:tcW w:w="655" w:type="pct"/>
            <w:hideMark/>
          </w:tcPr>
          <w:p w14:paraId="70BDCA6A" w14:textId="5255C0A2"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$ 2.824</w:t>
            </w:r>
          </w:p>
        </w:tc>
      </w:tr>
      <w:tr w:rsidR="006965BF" w:rsidRPr="006965BF" w14:paraId="7D556871" w14:textId="77777777" w:rsidTr="006965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14DF6852" w14:textId="77777777" w:rsidR="006965BF" w:rsidRPr="006965BF" w:rsidRDefault="006965BF" w:rsidP="006965BF">
            <w:pPr>
              <w:spacing w:before="0" w:after="0"/>
              <w:rPr>
                <w:rFonts w:cs="Segoe UI"/>
                <w:color w:val="000000"/>
              </w:rPr>
            </w:pPr>
            <w:r w:rsidRPr="006965BF">
              <w:rPr>
                <w:rFonts w:cs="Segoe UI"/>
                <w:b w:val="0"/>
                <w:bCs w:val="0"/>
                <w:color w:val="000000"/>
              </w:rPr>
              <w:t>Arriendo</w:t>
            </w:r>
          </w:p>
        </w:tc>
        <w:tc>
          <w:tcPr>
            <w:tcW w:w="655" w:type="pct"/>
            <w:hideMark/>
          </w:tcPr>
          <w:p w14:paraId="59B1BDB2" w14:textId="2DBFC040"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12C74071" w14:textId="0281DA16"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55" w:type="pct"/>
            <w:hideMark/>
          </w:tcPr>
          <w:p w14:paraId="00FFDC50" w14:textId="48DA3ADC"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72B39172" w14:textId="5C077824"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$ 60</w:t>
            </w:r>
          </w:p>
        </w:tc>
        <w:tc>
          <w:tcPr>
            <w:tcW w:w="673" w:type="pct"/>
            <w:hideMark/>
          </w:tcPr>
          <w:p w14:paraId="6DDFBEF2" w14:textId="780312CB"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$ 117</w:t>
            </w:r>
          </w:p>
        </w:tc>
        <w:tc>
          <w:tcPr>
            <w:tcW w:w="655" w:type="pct"/>
            <w:hideMark/>
          </w:tcPr>
          <w:p w14:paraId="3BAD2AF2" w14:textId="5630982E"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$ 108</w:t>
            </w:r>
          </w:p>
        </w:tc>
      </w:tr>
      <w:tr w:rsidR="006965BF" w:rsidRPr="006965BF" w14:paraId="036F8B9A" w14:textId="77777777" w:rsidTr="006965BF">
        <w:trPr>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5094B1C8" w14:textId="77777777" w:rsidR="006965BF" w:rsidRPr="006965BF" w:rsidRDefault="006965BF" w:rsidP="006965BF">
            <w:pPr>
              <w:spacing w:before="0" w:after="0"/>
              <w:rPr>
                <w:rFonts w:cs="Segoe UI"/>
                <w:color w:val="000000"/>
              </w:rPr>
            </w:pPr>
            <w:r w:rsidRPr="006965BF">
              <w:rPr>
                <w:rFonts w:cs="Segoe UI"/>
                <w:b w:val="0"/>
                <w:bCs w:val="0"/>
                <w:color w:val="000000"/>
              </w:rPr>
              <w:t>Construcción</w:t>
            </w:r>
          </w:p>
        </w:tc>
        <w:tc>
          <w:tcPr>
            <w:tcW w:w="655" w:type="pct"/>
            <w:hideMark/>
          </w:tcPr>
          <w:p w14:paraId="737533DF" w14:textId="581180A8"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$ 410</w:t>
            </w:r>
          </w:p>
        </w:tc>
        <w:tc>
          <w:tcPr>
            <w:tcW w:w="673" w:type="pct"/>
            <w:hideMark/>
          </w:tcPr>
          <w:p w14:paraId="7253F9A1" w14:textId="2DAA0FFD"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$ 3.315</w:t>
            </w:r>
          </w:p>
        </w:tc>
        <w:tc>
          <w:tcPr>
            <w:tcW w:w="655" w:type="pct"/>
            <w:hideMark/>
          </w:tcPr>
          <w:p w14:paraId="1A9C8D00" w14:textId="1AA73DA5"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$ 164</w:t>
            </w:r>
          </w:p>
        </w:tc>
        <w:tc>
          <w:tcPr>
            <w:tcW w:w="673" w:type="pct"/>
            <w:hideMark/>
          </w:tcPr>
          <w:p w14:paraId="02DA080E" w14:textId="7085BE28"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$ 1.864</w:t>
            </w:r>
          </w:p>
        </w:tc>
        <w:tc>
          <w:tcPr>
            <w:tcW w:w="673" w:type="pct"/>
            <w:hideMark/>
          </w:tcPr>
          <w:p w14:paraId="0173A668" w14:textId="1B78AD22"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$ 2.535</w:t>
            </w:r>
          </w:p>
        </w:tc>
        <w:tc>
          <w:tcPr>
            <w:tcW w:w="655" w:type="pct"/>
            <w:hideMark/>
          </w:tcPr>
          <w:p w14:paraId="4CC3826E" w14:textId="51BF84DE"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$ 613</w:t>
            </w:r>
          </w:p>
        </w:tc>
      </w:tr>
      <w:tr w:rsidR="006965BF" w:rsidRPr="006965BF" w14:paraId="5184CFA7" w14:textId="77777777" w:rsidTr="006965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694B4AEA" w14:textId="77777777" w:rsidR="006965BF" w:rsidRPr="006965BF" w:rsidRDefault="006965BF" w:rsidP="006965BF">
            <w:pPr>
              <w:spacing w:before="0" w:after="0"/>
              <w:rPr>
                <w:rFonts w:cs="Segoe UI"/>
                <w:color w:val="000000"/>
              </w:rPr>
            </w:pPr>
            <w:r w:rsidRPr="006965BF">
              <w:rPr>
                <w:rFonts w:cs="Segoe UI"/>
                <w:b w:val="0"/>
                <w:bCs w:val="0"/>
                <w:color w:val="000000"/>
              </w:rPr>
              <w:t>Consultoría</w:t>
            </w:r>
          </w:p>
        </w:tc>
        <w:tc>
          <w:tcPr>
            <w:tcW w:w="655" w:type="pct"/>
            <w:hideMark/>
          </w:tcPr>
          <w:p w14:paraId="0885E726" w14:textId="640D0CBC"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1401651D" w14:textId="363C5044"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55" w:type="pct"/>
            <w:hideMark/>
          </w:tcPr>
          <w:p w14:paraId="1490C7E1" w14:textId="2650C73F"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1150BB03" w14:textId="6D594E81"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$ 120</w:t>
            </w:r>
          </w:p>
        </w:tc>
        <w:tc>
          <w:tcPr>
            <w:tcW w:w="673" w:type="pct"/>
            <w:hideMark/>
          </w:tcPr>
          <w:p w14:paraId="61232560" w14:textId="3E6579D2"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$ 335</w:t>
            </w:r>
          </w:p>
        </w:tc>
        <w:tc>
          <w:tcPr>
            <w:tcW w:w="655" w:type="pct"/>
            <w:hideMark/>
          </w:tcPr>
          <w:p w14:paraId="1C5DB210" w14:textId="3AFFC9B1"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$ 2.383</w:t>
            </w:r>
          </w:p>
        </w:tc>
      </w:tr>
      <w:tr w:rsidR="006965BF" w:rsidRPr="006965BF" w14:paraId="56B6A86B" w14:textId="77777777" w:rsidTr="006965BF">
        <w:trPr>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6F1F0A37" w14:textId="77777777" w:rsidR="006965BF" w:rsidRPr="006965BF" w:rsidRDefault="006965BF" w:rsidP="006965BF">
            <w:pPr>
              <w:spacing w:before="0" w:after="0"/>
              <w:rPr>
                <w:rFonts w:cs="Segoe UI"/>
                <w:color w:val="000000"/>
              </w:rPr>
            </w:pPr>
            <w:r w:rsidRPr="006965BF">
              <w:rPr>
                <w:rFonts w:cs="Segoe UI"/>
                <w:b w:val="0"/>
                <w:bCs w:val="0"/>
                <w:color w:val="000000"/>
              </w:rPr>
              <w:t>Dotación</w:t>
            </w:r>
          </w:p>
        </w:tc>
        <w:tc>
          <w:tcPr>
            <w:tcW w:w="655" w:type="pct"/>
            <w:hideMark/>
          </w:tcPr>
          <w:p w14:paraId="14D7C3F0" w14:textId="6EA0ECDD"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$ 519</w:t>
            </w:r>
          </w:p>
        </w:tc>
        <w:tc>
          <w:tcPr>
            <w:tcW w:w="673" w:type="pct"/>
            <w:hideMark/>
          </w:tcPr>
          <w:p w14:paraId="34848DA7" w14:textId="10DE8231"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$ 518</w:t>
            </w:r>
          </w:p>
        </w:tc>
        <w:tc>
          <w:tcPr>
            <w:tcW w:w="655" w:type="pct"/>
            <w:hideMark/>
          </w:tcPr>
          <w:p w14:paraId="5C3B13BC" w14:textId="6D3F6B82"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$ 2.262</w:t>
            </w:r>
          </w:p>
        </w:tc>
        <w:tc>
          <w:tcPr>
            <w:tcW w:w="673" w:type="pct"/>
            <w:hideMark/>
          </w:tcPr>
          <w:p w14:paraId="61710BDB" w14:textId="313BD63B"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$ 279</w:t>
            </w:r>
          </w:p>
        </w:tc>
        <w:tc>
          <w:tcPr>
            <w:tcW w:w="673" w:type="pct"/>
            <w:hideMark/>
          </w:tcPr>
          <w:p w14:paraId="48E0B45D" w14:textId="26C7DE2B"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$ 64</w:t>
            </w:r>
          </w:p>
        </w:tc>
        <w:tc>
          <w:tcPr>
            <w:tcW w:w="655" w:type="pct"/>
            <w:hideMark/>
          </w:tcPr>
          <w:p w14:paraId="6F742B86" w14:textId="6E0E1BF7"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$ 51</w:t>
            </w:r>
          </w:p>
        </w:tc>
      </w:tr>
      <w:tr w:rsidR="006965BF" w:rsidRPr="006965BF" w14:paraId="0CE49857" w14:textId="77777777" w:rsidTr="006965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3867EAB6" w14:textId="77777777" w:rsidR="006965BF" w:rsidRPr="006965BF" w:rsidRDefault="006965BF" w:rsidP="006965BF">
            <w:pPr>
              <w:spacing w:before="0" w:after="0"/>
              <w:rPr>
                <w:rFonts w:cs="Segoe UI"/>
                <w:color w:val="000000"/>
              </w:rPr>
            </w:pPr>
            <w:r w:rsidRPr="006965BF">
              <w:rPr>
                <w:rFonts w:cs="Segoe UI"/>
                <w:b w:val="0"/>
                <w:bCs w:val="0"/>
                <w:color w:val="000000"/>
              </w:rPr>
              <w:t>Mantenimiento</w:t>
            </w:r>
          </w:p>
        </w:tc>
        <w:tc>
          <w:tcPr>
            <w:tcW w:w="655" w:type="pct"/>
            <w:hideMark/>
          </w:tcPr>
          <w:p w14:paraId="05A419CB" w14:textId="5E3DAA43"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$ 1.042</w:t>
            </w:r>
          </w:p>
        </w:tc>
        <w:tc>
          <w:tcPr>
            <w:tcW w:w="673" w:type="pct"/>
            <w:hideMark/>
          </w:tcPr>
          <w:p w14:paraId="037E33C7" w14:textId="32E1279E"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$ 492</w:t>
            </w:r>
          </w:p>
        </w:tc>
        <w:tc>
          <w:tcPr>
            <w:tcW w:w="655" w:type="pct"/>
            <w:hideMark/>
          </w:tcPr>
          <w:p w14:paraId="1B950128" w14:textId="271A754D"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$ 278</w:t>
            </w:r>
          </w:p>
        </w:tc>
        <w:tc>
          <w:tcPr>
            <w:tcW w:w="673" w:type="pct"/>
            <w:hideMark/>
          </w:tcPr>
          <w:p w14:paraId="3E5A2749" w14:textId="17D87423"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$ 1.527</w:t>
            </w:r>
          </w:p>
        </w:tc>
        <w:tc>
          <w:tcPr>
            <w:tcW w:w="673" w:type="pct"/>
            <w:hideMark/>
          </w:tcPr>
          <w:p w14:paraId="23A1E780" w14:textId="30C25D71"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$ 957</w:t>
            </w:r>
          </w:p>
        </w:tc>
        <w:tc>
          <w:tcPr>
            <w:tcW w:w="655" w:type="pct"/>
            <w:hideMark/>
          </w:tcPr>
          <w:p w14:paraId="153AD406" w14:textId="0B64C476"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$ 683</w:t>
            </w:r>
          </w:p>
        </w:tc>
      </w:tr>
      <w:tr w:rsidR="006965BF" w:rsidRPr="006965BF" w14:paraId="5481AF2D" w14:textId="77777777" w:rsidTr="006965BF">
        <w:trPr>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38B4F0E3" w14:textId="77777777" w:rsidR="006965BF" w:rsidRPr="006965BF" w:rsidRDefault="006965BF" w:rsidP="006965BF">
            <w:pPr>
              <w:spacing w:before="0" w:after="0"/>
              <w:rPr>
                <w:rFonts w:cs="Segoe UI"/>
                <w:color w:val="000000"/>
              </w:rPr>
            </w:pPr>
            <w:r w:rsidRPr="006965BF">
              <w:rPr>
                <w:rFonts w:cs="Segoe UI"/>
                <w:b w:val="0"/>
                <w:bCs w:val="0"/>
                <w:color w:val="000000"/>
              </w:rPr>
              <w:t>Recolección</w:t>
            </w:r>
          </w:p>
        </w:tc>
        <w:tc>
          <w:tcPr>
            <w:tcW w:w="655" w:type="pct"/>
            <w:hideMark/>
          </w:tcPr>
          <w:p w14:paraId="1089FF8C" w14:textId="09596CF7"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191D517D" w14:textId="4D8DA66F"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c>
          <w:tcPr>
            <w:tcW w:w="655" w:type="pct"/>
            <w:hideMark/>
          </w:tcPr>
          <w:p w14:paraId="14CBE1A9" w14:textId="2777D91D"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6C9CBB2D" w14:textId="5838178B"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53C5A2AF" w14:textId="4F11B8AD"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$ 8</w:t>
            </w:r>
          </w:p>
        </w:tc>
        <w:tc>
          <w:tcPr>
            <w:tcW w:w="655" w:type="pct"/>
            <w:hideMark/>
          </w:tcPr>
          <w:p w14:paraId="5FFEFECC" w14:textId="2D95FE43"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r>
      <w:tr w:rsidR="006965BF" w:rsidRPr="006965BF" w14:paraId="3B52ADFB" w14:textId="77777777" w:rsidTr="006965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0E2A2DBD" w14:textId="77777777" w:rsidR="006965BF" w:rsidRPr="006965BF" w:rsidRDefault="006965BF" w:rsidP="006965BF">
            <w:pPr>
              <w:spacing w:before="0" w:after="0"/>
              <w:rPr>
                <w:rFonts w:cs="Segoe UI"/>
                <w:color w:val="000000"/>
              </w:rPr>
            </w:pPr>
            <w:r w:rsidRPr="006965BF">
              <w:rPr>
                <w:rFonts w:cs="Segoe UI"/>
                <w:b w:val="0"/>
                <w:bCs w:val="0"/>
                <w:color w:val="000000"/>
              </w:rPr>
              <w:t>Renovación de licencias</w:t>
            </w:r>
          </w:p>
        </w:tc>
        <w:tc>
          <w:tcPr>
            <w:tcW w:w="655" w:type="pct"/>
            <w:hideMark/>
          </w:tcPr>
          <w:p w14:paraId="03295DB7" w14:textId="612AFC85"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64FCF5D8" w14:textId="60EFB7C0"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w:t>
            </w:r>
          </w:p>
        </w:tc>
        <w:tc>
          <w:tcPr>
            <w:tcW w:w="655" w:type="pct"/>
            <w:hideMark/>
          </w:tcPr>
          <w:p w14:paraId="57703A6F" w14:textId="48390CFD"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$ 423</w:t>
            </w:r>
          </w:p>
        </w:tc>
        <w:tc>
          <w:tcPr>
            <w:tcW w:w="673" w:type="pct"/>
            <w:hideMark/>
          </w:tcPr>
          <w:p w14:paraId="077E9270" w14:textId="4EB6BD74"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$ 935</w:t>
            </w:r>
          </w:p>
        </w:tc>
        <w:tc>
          <w:tcPr>
            <w:tcW w:w="673" w:type="pct"/>
            <w:hideMark/>
          </w:tcPr>
          <w:p w14:paraId="1DC48B8F" w14:textId="2B8607C5"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$ 940</w:t>
            </w:r>
          </w:p>
        </w:tc>
        <w:tc>
          <w:tcPr>
            <w:tcW w:w="655" w:type="pct"/>
            <w:hideMark/>
          </w:tcPr>
          <w:p w14:paraId="182AC19F" w14:textId="1C68E4CD"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color w:val="000000"/>
              </w:rPr>
            </w:pPr>
            <w:r w:rsidRPr="006965BF">
              <w:rPr>
                <w:rFonts w:cs="Segoe UI"/>
                <w:color w:val="000000"/>
              </w:rPr>
              <w:t>$ 484</w:t>
            </w:r>
          </w:p>
        </w:tc>
      </w:tr>
      <w:tr w:rsidR="006965BF" w:rsidRPr="006965BF" w14:paraId="21F81BD2" w14:textId="77777777" w:rsidTr="006965BF">
        <w:trPr>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6DE93904" w14:textId="77777777" w:rsidR="006965BF" w:rsidRPr="006965BF" w:rsidRDefault="006965BF" w:rsidP="006965BF">
            <w:pPr>
              <w:spacing w:before="0" w:after="0"/>
              <w:rPr>
                <w:rFonts w:cs="Segoe UI"/>
                <w:color w:val="000000"/>
              </w:rPr>
            </w:pPr>
            <w:r w:rsidRPr="006965BF">
              <w:rPr>
                <w:rFonts w:cs="Segoe UI"/>
                <w:b w:val="0"/>
                <w:bCs w:val="0"/>
                <w:color w:val="000000"/>
              </w:rPr>
              <w:t>OTROS</w:t>
            </w:r>
          </w:p>
        </w:tc>
        <w:tc>
          <w:tcPr>
            <w:tcW w:w="655" w:type="pct"/>
            <w:hideMark/>
          </w:tcPr>
          <w:p w14:paraId="273D4F8E" w14:textId="473A56EE"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7621D339" w14:textId="597EBFEB"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c>
          <w:tcPr>
            <w:tcW w:w="655" w:type="pct"/>
            <w:hideMark/>
          </w:tcPr>
          <w:p w14:paraId="0AB12D58" w14:textId="7641D12A"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c>
          <w:tcPr>
            <w:tcW w:w="673" w:type="pct"/>
            <w:hideMark/>
          </w:tcPr>
          <w:p w14:paraId="4A25315B" w14:textId="2F734AA6"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$ 24</w:t>
            </w:r>
          </w:p>
        </w:tc>
        <w:tc>
          <w:tcPr>
            <w:tcW w:w="673" w:type="pct"/>
            <w:hideMark/>
          </w:tcPr>
          <w:p w14:paraId="0FE3463B" w14:textId="240EC5B2"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$ 3</w:t>
            </w:r>
          </w:p>
        </w:tc>
        <w:tc>
          <w:tcPr>
            <w:tcW w:w="655" w:type="pct"/>
            <w:hideMark/>
          </w:tcPr>
          <w:p w14:paraId="1D09F491" w14:textId="06DCD363" w:rsidR="006965BF" w:rsidRPr="006965BF" w:rsidRDefault="006965BF" w:rsidP="006965BF">
            <w:pPr>
              <w:spacing w:before="0" w:after="0"/>
              <w:jc w:val="center"/>
              <w:cnfStyle w:val="000000000000" w:firstRow="0" w:lastRow="0" w:firstColumn="0" w:lastColumn="0" w:oddVBand="0" w:evenVBand="0" w:oddHBand="0" w:evenHBand="0" w:firstRowFirstColumn="0" w:firstRowLastColumn="0" w:lastRowFirstColumn="0" w:lastRowLastColumn="0"/>
              <w:rPr>
                <w:rFonts w:cs="Segoe UI"/>
                <w:color w:val="000000"/>
              </w:rPr>
            </w:pPr>
            <w:r w:rsidRPr="006965BF">
              <w:rPr>
                <w:rFonts w:cs="Segoe UI"/>
                <w:color w:val="000000"/>
              </w:rPr>
              <w:t>$ -</w:t>
            </w:r>
          </w:p>
        </w:tc>
      </w:tr>
      <w:tr w:rsidR="006965BF" w:rsidRPr="006965BF" w14:paraId="6D305B2B" w14:textId="77777777" w:rsidTr="006965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4" w:type="pct"/>
            <w:hideMark/>
          </w:tcPr>
          <w:p w14:paraId="46500328" w14:textId="77777777" w:rsidR="006965BF" w:rsidRPr="006965BF" w:rsidRDefault="006965BF" w:rsidP="006965BF">
            <w:pPr>
              <w:spacing w:before="0" w:after="0"/>
              <w:jc w:val="center"/>
              <w:rPr>
                <w:rFonts w:cs="Segoe UI"/>
                <w:color w:val="000000"/>
              </w:rPr>
            </w:pPr>
            <w:r w:rsidRPr="006965BF">
              <w:rPr>
                <w:rFonts w:cs="Segoe UI"/>
                <w:b w:val="0"/>
                <w:bCs w:val="0"/>
                <w:color w:val="000000"/>
              </w:rPr>
              <w:t>Total general</w:t>
            </w:r>
          </w:p>
        </w:tc>
        <w:tc>
          <w:tcPr>
            <w:tcW w:w="655" w:type="pct"/>
            <w:hideMark/>
          </w:tcPr>
          <w:p w14:paraId="0695F465" w14:textId="61893D23"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b/>
                <w:bCs/>
                <w:color w:val="000000"/>
              </w:rPr>
            </w:pPr>
            <w:r w:rsidRPr="006965BF">
              <w:rPr>
                <w:rFonts w:cs="Segoe UI"/>
                <w:b/>
                <w:bCs/>
                <w:color w:val="000000"/>
              </w:rPr>
              <w:t>$ 4.098</w:t>
            </w:r>
          </w:p>
        </w:tc>
        <w:tc>
          <w:tcPr>
            <w:tcW w:w="673" w:type="pct"/>
            <w:hideMark/>
          </w:tcPr>
          <w:p w14:paraId="41CD7885" w14:textId="0BC96258"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b/>
                <w:bCs/>
                <w:color w:val="000000"/>
              </w:rPr>
            </w:pPr>
            <w:r w:rsidRPr="006965BF">
              <w:rPr>
                <w:rFonts w:cs="Segoe UI"/>
                <w:b/>
                <w:bCs/>
                <w:color w:val="000000"/>
              </w:rPr>
              <w:t>$ 10.318</w:t>
            </w:r>
          </w:p>
        </w:tc>
        <w:tc>
          <w:tcPr>
            <w:tcW w:w="655" w:type="pct"/>
            <w:hideMark/>
          </w:tcPr>
          <w:p w14:paraId="02955824" w14:textId="5A3EB299"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b/>
                <w:bCs/>
                <w:color w:val="000000"/>
              </w:rPr>
            </w:pPr>
            <w:r w:rsidRPr="006965BF">
              <w:rPr>
                <w:rFonts w:cs="Segoe UI"/>
                <w:b/>
                <w:bCs/>
                <w:color w:val="000000"/>
              </w:rPr>
              <w:t>$ 7.661</w:t>
            </w:r>
          </w:p>
        </w:tc>
        <w:tc>
          <w:tcPr>
            <w:tcW w:w="673" w:type="pct"/>
            <w:hideMark/>
          </w:tcPr>
          <w:p w14:paraId="36631E0B" w14:textId="3C242D0F"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b/>
                <w:bCs/>
                <w:color w:val="000000"/>
              </w:rPr>
            </w:pPr>
            <w:r w:rsidRPr="006965BF">
              <w:rPr>
                <w:rFonts w:cs="Segoe UI"/>
                <w:b/>
                <w:bCs/>
                <w:color w:val="000000"/>
              </w:rPr>
              <w:t>$ 12.190</w:t>
            </w:r>
          </w:p>
        </w:tc>
        <w:tc>
          <w:tcPr>
            <w:tcW w:w="673" w:type="pct"/>
            <w:hideMark/>
          </w:tcPr>
          <w:p w14:paraId="138451FC" w14:textId="2C356637"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b/>
                <w:bCs/>
                <w:color w:val="000000"/>
              </w:rPr>
            </w:pPr>
            <w:r w:rsidRPr="006965BF">
              <w:rPr>
                <w:rFonts w:cs="Segoe UI"/>
                <w:b/>
                <w:bCs/>
                <w:color w:val="000000"/>
              </w:rPr>
              <w:t>$ 11.494</w:t>
            </w:r>
          </w:p>
        </w:tc>
        <w:tc>
          <w:tcPr>
            <w:tcW w:w="655" w:type="pct"/>
            <w:hideMark/>
          </w:tcPr>
          <w:p w14:paraId="5649EDB0" w14:textId="4B8CA839" w:rsidR="006965BF" w:rsidRPr="006965BF" w:rsidRDefault="006965BF" w:rsidP="006965BF">
            <w:pPr>
              <w:spacing w:before="0" w:after="0"/>
              <w:jc w:val="center"/>
              <w:cnfStyle w:val="000000100000" w:firstRow="0" w:lastRow="0" w:firstColumn="0" w:lastColumn="0" w:oddVBand="0" w:evenVBand="0" w:oddHBand="1" w:evenHBand="0" w:firstRowFirstColumn="0" w:firstRowLastColumn="0" w:lastRowFirstColumn="0" w:lastRowLastColumn="0"/>
              <w:rPr>
                <w:rFonts w:cs="Segoe UI"/>
                <w:b/>
                <w:bCs/>
                <w:color w:val="000000"/>
              </w:rPr>
            </w:pPr>
            <w:r w:rsidRPr="006965BF">
              <w:rPr>
                <w:rFonts w:cs="Segoe UI"/>
                <w:b/>
                <w:bCs/>
                <w:color w:val="000000"/>
              </w:rPr>
              <w:t>$ 9.246</w:t>
            </w:r>
          </w:p>
        </w:tc>
      </w:tr>
    </w:tbl>
    <w:p w14:paraId="23B20B5A" w14:textId="018CC6E7" w:rsidR="003C6668" w:rsidRDefault="006965BF" w:rsidP="006965BF">
      <w:pPr>
        <w:spacing w:line="276" w:lineRule="auto"/>
        <w:jc w:val="center"/>
        <w:rPr>
          <w:lang w:val="es-CO"/>
        </w:rPr>
      </w:pPr>
      <w:r>
        <w:rPr>
          <w:b/>
          <w:lang w:val="es-CO"/>
        </w:rPr>
        <w:t xml:space="preserve"> Fuente: </w:t>
      </w:r>
      <w:r>
        <w:rPr>
          <w:lang w:val="es-CO"/>
        </w:rPr>
        <w:t xml:space="preserve">Unidad de Gestión y Planeación – Universidad de </w:t>
      </w:r>
      <w:r w:rsidR="00D50350">
        <w:rPr>
          <w:lang w:val="es-CO"/>
        </w:rPr>
        <w:t>Córdoba</w:t>
      </w:r>
    </w:p>
    <w:p w14:paraId="1094B73D" w14:textId="430A709A" w:rsidR="00D50350" w:rsidRDefault="00D50350" w:rsidP="00D50350">
      <w:pPr>
        <w:spacing w:line="276" w:lineRule="auto"/>
        <w:jc w:val="both"/>
        <w:rPr>
          <w:lang w:val="es-CO"/>
        </w:rPr>
      </w:pPr>
      <w:r>
        <w:rPr>
          <w:lang w:val="es-CO"/>
        </w:rPr>
        <w:t xml:space="preserve">En los últimos 5 años el 29.5% de los recursos han sido utilizados para adecuación, el 27.8% para adquisición y el 16,2% para construcción. Estos tres grandes rubros abarcan más del 70% de los recursos provenientes de la estampilla. Adicionalmente, al revisar el uso de recursos por destino, el 32% de los recursos de la estampilla se han utilizado para inversión en el campus universitario, el 29.8% para inversión en laboratorios y el 11% para inversión en aulas. </w:t>
      </w:r>
    </w:p>
    <w:p w14:paraId="75128286" w14:textId="77777777" w:rsidR="00D50350" w:rsidRDefault="00D50350" w:rsidP="00D50350">
      <w:pPr>
        <w:spacing w:line="276" w:lineRule="auto"/>
        <w:jc w:val="both"/>
        <w:rPr>
          <w:lang w:val="es-CO"/>
        </w:rPr>
      </w:pPr>
    </w:p>
    <w:p w14:paraId="2ACF4AF8" w14:textId="64ED79D4" w:rsidR="00D50350" w:rsidRDefault="00D50350" w:rsidP="00D50350">
      <w:pPr>
        <w:pStyle w:val="Ttulo1"/>
        <w:jc w:val="center"/>
        <w:rPr>
          <w:lang w:val="es-CO"/>
        </w:rPr>
      </w:pPr>
      <w:r>
        <w:rPr>
          <w:lang w:val="es-CO"/>
        </w:rPr>
        <w:t>Tabla 3. Inversiones con recursos de estampilla por destino</w:t>
      </w:r>
      <w:r>
        <w:rPr>
          <w:lang w:val="es-CO"/>
        </w:rPr>
        <w:br/>
        <w:t>2013 - 2018</w:t>
      </w:r>
    </w:p>
    <w:tbl>
      <w:tblPr>
        <w:tblStyle w:val="Tabladecuadrcula4-nfasis11"/>
        <w:tblW w:w="8740" w:type="dxa"/>
        <w:tblLook w:val="04A0" w:firstRow="1" w:lastRow="0" w:firstColumn="1" w:lastColumn="0" w:noHBand="0" w:noVBand="1"/>
      </w:tblPr>
      <w:tblGrid>
        <w:gridCol w:w="1635"/>
        <w:gridCol w:w="1125"/>
        <w:gridCol w:w="1431"/>
        <w:gridCol w:w="1126"/>
        <w:gridCol w:w="1145"/>
        <w:gridCol w:w="1145"/>
        <w:gridCol w:w="1133"/>
      </w:tblGrid>
      <w:tr w:rsidR="00D50350" w:rsidRPr="00D50350" w14:paraId="237C3C6A" w14:textId="77777777" w:rsidTr="00D503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3D656239" w14:textId="77777777" w:rsidR="00D50350" w:rsidRPr="00D50350" w:rsidRDefault="00D50350" w:rsidP="00D50350">
            <w:pPr>
              <w:spacing w:before="0" w:after="0"/>
              <w:jc w:val="center"/>
              <w:rPr>
                <w:rFonts w:eastAsia="Times New Roman" w:cs="Segoe UI"/>
                <w:lang w:val="es-ES" w:eastAsia="es-ES"/>
              </w:rPr>
            </w:pPr>
            <w:r w:rsidRPr="00D50350">
              <w:rPr>
                <w:rFonts w:eastAsia="Times New Roman" w:cs="Segoe UI"/>
                <w:lang w:val="es-ES" w:eastAsia="es-ES"/>
              </w:rPr>
              <w:t>DESTINO</w:t>
            </w:r>
          </w:p>
        </w:tc>
        <w:tc>
          <w:tcPr>
            <w:tcW w:w="1125" w:type="dxa"/>
            <w:hideMark/>
          </w:tcPr>
          <w:p w14:paraId="7575F3C1" w14:textId="77777777" w:rsidR="00D50350" w:rsidRPr="00D50350" w:rsidRDefault="00D50350" w:rsidP="00D50350">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ES" w:eastAsia="es-ES"/>
              </w:rPr>
            </w:pPr>
            <w:r w:rsidRPr="00D50350">
              <w:rPr>
                <w:rFonts w:eastAsia="Times New Roman" w:cs="Segoe UI"/>
                <w:lang w:val="es-ES" w:eastAsia="es-ES"/>
              </w:rPr>
              <w:t xml:space="preserve"> 2013 </w:t>
            </w:r>
          </w:p>
        </w:tc>
        <w:tc>
          <w:tcPr>
            <w:tcW w:w="1431" w:type="dxa"/>
            <w:hideMark/>
          </w:tcPr>
          <w:p w14:paraId="49152527" w14:textId="77777777" w:rsidR="00D50350" w:rsidRPr="00D50350" w:rsidRDefault="00D50350" w:rsidP="00D50350">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ES" w:eastAsia="es-ES"/>
              </w:rPr>
            </w:pPr>
            <w:r w:rsidRPr="00D50350">
              <w:rPr>
                <w:rFonts w:eastAsia="Times New Roman" w:cs="Segoe UI"/>
                <w:lang w:val="es-ES" w:eastAsia="es-ES"/>
              </w:rPr>
              <w:t xml:space="preserve"> 2014 </w:t>
            </w:r>
          </w:p>
        </w:tc>
        <w:tc>
          <w:tcPr>
            <w:tcW w:w="1126" w:type="dxa"/>
            <w:hideMark/>
          </w:tcPr>
          <w:p w14:paraId="4B3F34B1" w14:textId="77777777" w:rsidR="00D50350" w:rsidRPr="00D50350" w:rsidRDefault="00D50350" w:rsidP="00D50350">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ES" w:eastAsia="es-ES"/>
              </w:rPr>
            </w:pPr>
            <w:r w:rsidRPr="00D50350">
              <w:rPr>
                <w:rFonts w:eastAsia="Times New Roman" w:cs="Segoe UI"/>
                <w:lang w:val="es-ES" w:eastAsia="es-ES"/>
              </w:rPr>
              <w:t xml:space="preserve"> 2015 </w:t>
            </w:r>
          </w:p>
        </w:tc>
        <w:tc>
          <w:tcPr>
            <w:tcW w:w="1145" w:type="dxa"/>
            <w:hideMark/>
          </w:tcPr>
          <w:p w14:paraId="52D536E0" w14:textId="77777777" w:rsidR="00D50350" w:rsidRPr="00D50350" w:rsidRDefault="00D50350" w:rsidP="00D50350">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ES" w:eastAsia="es-ES"/>
              </w:rPr>
            </w:pPr>
            <w:r w:rsidRPr="00D50350">
              <w:rPr>
                <w:rFonts w:eastAsia="Times New Roman" w:cs="Segoe UI"/>
                <w:lang w:val="es-ES" w:eastAsia="es-ES"/>
              </w:rPr>
              <w:t xml:space="preserve"> 2016 </w:t>
            </w:r>
          </w:p>
        </w:tc>
        <w:tc>
          <w:tcPr>
            <w:tcW w:w="1145" w:type="dxa"/>
            <w:hideMark/>
          </w:tcPr>
          <w:p w14:paraId="58A721A4" w14:textId="77777777" w:rsidR="00D50350" w:rsidRPr="00D50350" w:rsidRDefault="00D50350" w:rsidP="00D50350">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ES" w:eastAsia="es-ES"/>
              </w:rPr>
            </w:pPr>
            <w:r w:rsidRPr="00D50350">
              <w:rPr>
                <w:rFonts w:eastAsia="Times New Roman" w:cs="Segoe UI"/>
                <w:lang w:val="es-ES" w:eastAsia="es-ES"/>
              </w:rPr>
              <w:t xml:space="preserve"> 2017 </w:t>
            </w:r>
          </w:p>
        </w:tc>
        <w:tc>
          <w:tcPr>
            <w:tcW w:w="1133" w:type="dxa"/>
            <w:hideMark/>
          </w:tcPr>
          <w:p w14:paraId="1EC26A7F" w14:textId="77777777" w:rsidR="00D50350" w:rsidRPr="00D50350" w:rsidRDefault="00D50350" w:rsidP="00D50350">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lang w:val="es-ES" w:eastAsia="es-ES"/>
              </w:rPr>
            </w:pPr>
            <w:r w:rsidRPr="00D50350">
              <w:rPr>
                <w:rFonts w:eastAsia="Times New Roman" w:cs="Segoe UI"/>
                <w:lang w:val="es-ES" w:eastAsia="es-ES"/>
              </w:rPr>
              <w:t xml:space="preserve"> 2018 (A Julio) </w:t>
            </w:r>
          </w:p>
        </w:tc>
      </w:tr>
      <w:tr w:rsidR="00D50350" w:rsidRPr="00D50350" w14:paraId="4456E24E"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702683C6"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Aulas</w:t>
            </w:r>
          </w:p>
        </w:tc>
        <w:tc>
          <w:tcPr>
            <w:tcW w:w="1125" w:type="dxa"/>
            <w:hideMark/>
          </w:tcPr>
          <w:p w14:paraId="109A37E5" w14:textId="724B6A50"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$ 728 </w:t>
            </w:r>
          </w:p>
        </w:tc>
        <w:tc>
          <w:tcPr>
            <w:tcW w:w="1431" w:type="dxa"/>
            <w:hideMark/>
          </w:tcPr>
          <w:p w14:paraId="075F1480" w14:textId="6688D9C8"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$ 1.000 </w:t>
            </w:r>
          </w:p>
        </w:tc>
        <w:tc>
          <w:tcPr>
            <w:tcW w:w="1126" w:type="dxa"/>
            <w:hideMark/>
          </w:tcPr>
          <w:p w14:paraId="65A230D7" w14:textId="5D017DBA"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$ 657 </w:t>
            </w:r>
          </w:p>
        </w:tc>
        <w:tc>
          <w:tcPr>
            <w:tcW w:w="1145" w:type="dxa"/>
            <w:hideMark/>
          </w:tcPr>
          <w:p w14:paraId="1A3886BE" w14:textId="66B808FA"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$ 2.274 </w:t>
            </w:r>
          </w:p>
        </w:tc>
        <w:tc>
          <w:tcPr>
            <w:tcW w:w="1145" w:type="dxa"/>
            <w:hideMark/>
          </w:tcPr>
          <w:p w14:paraId="0595EA50" w14:textId="76311DD3"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$ 873 </w:t>
            </w:r>
          </w:p>
        </w:tc>
        <w:tc>
          <w:tcPr>
            <w:tcW w:w="1133" w:type="dxa"/>
            <w:hideMark/>
          </w:tcPr>
          <w:p w14:paraId="634AB6E2" w14:textId="48B39234"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$ 611 </w:t>
            </w:r>
          </w:p>
        </w:tc>
      </w:tr>
      <w:tr w:rsidR="00D50350" w:rsidRPr="00D50350" w14:paraId="696FB4CE" w14:textId="77777777" w:rsidTr="00D50350">
        <w:trPr>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54349AE2"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Baños</w:t>
            </w:r>
          </w:p>
        </w:tc>
        <w:tc>
          <w:tcPr>
            <w:tcW w:w="1125" w:type="dxa"/>
            <w:hideMark/>
          </w:tcPr>
          <w:p w14:paraId="0126B40F" w14:textId="47DD29A6"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431" w:type="dxa"/>
            <w:hideMark/>
          </w:tcPr>
          <w:p w14:paraId="44D662C3" w14:textId="5EC583A9"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 </w:t>
            </w:r>
          </w:p>
        </w:tc>
        <w:tc>
          <w:tcPr>
            <w:tcW w:w="1126" w:type="dxa"/>
            <w:hideMark/>
          </w:tcPr>
          <w:p w14:paraId="6F97BF56" w14:textId="1C782BEF"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2B942C25" w14:textId="15C0B323"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$ 729 </w:t>
            </w:r>
          </w:p>
        </w:tc>
        <w:tc>
          <w:tcPr>
            <w:tcW w:w="1145" w:type="dxa"/>
            <w:hideMark/>
          </w:tcPr>
          <w:p w14:paraId="6E6E627A" w14:textId="58ECF5AD"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33" w:type="dxa"/>
            <w:hideMark/>
          </w:tcPr>
          <w:p w14:paraId="1BC4D6C3" w14:textId="47214186"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r>
      <w:tr w:rsidR="00D50350" w:rsidRPr="00D50350" w14:paraId="155627F9"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7D7824FD"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Biblioteca</w:t>
            </w:r>
          </w:p>
        </w:tc>
        <w:tc>
          <w:tcPr>
            <w:tcW w:w="1125" w:type="dxa"/>
            <w:hideMark/>
          </w:tcPr>
          <w:p w14:paraId="052FFC2B" w14:textId="3EEBBA55"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 </w:t>
            </w:r>
          </w:p>
        </w:tc>
        <w:tc>
          <w:tcPr>
            <w:tcW w:w="1431" w:type="dxa"/>
            <w:hideMark/>
          </w:tcPr>
          <w:p w14:paraId="1CE9B3A6" w14:textId="75D1247F"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$ 250 </w:t>
            </w:r>
          </w:p>
        </w:tc>
        <w:tc>
          <w:tcPr>
            <w:tcW w:w="1126" w:type="dxa"/>
            <w:hideMark/>
          </w:tcPr>
          <w:p w14:paraId="4C9D995B" w14:textId="2FD24B33"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$ 245 </w:t>
            </w:r>
          </w:p>
        </w:tc>
        <w:tc>
          <w:tcPr>
            <w:tcW w:w="1145" w:type="dxa"/>
            <w:hideMark/>
          </w:tcPr>
          <w:p w14:paraId="55111EC9" w14:textId="3AD9FD91"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$ 769 </w:t>
            </w:r>
          </w:p>
        </w:tc>
        <w:tc>
          <w:tcPr>
            <w:tcW w:w="1145" w:type="dxa"/>
            <w:hideMark/>
          </w:tcPr>
          <w:p w14:paraId="0CD6DFFC" w14:textId="017EF848"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$ 878 </w:t>
            </w:r>
          </w:p>
        </w:tc>
        <w:tc>
          <w:tcPr>
            <w:tcW w:w="1133" w:type="dxa"/>
            <w:hideMark/>
          </w:tcPr>
          <w:p w14:paraId="2A5B8DA8" w14:textId="6348DF66"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$ 706 </w:t>
            </w:r>
          </w:p>
        </w:tc>
      </w:tr>
      <w:tr w:rsidR="00D50350" w:rsidRPr="00D50350" w14:paraId="78F1BE29" w14:textId="77777777" w:rsidTr="00D50350">
        <w:trPr>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254828F1"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Cafetería</w:t>
            </w:r>
          </w:p>
        </w:tc>
        <w:tc>
          <w:tcPr>
            <w:tcW w:w="1125" w:type="dxa"/>
            <w:hideMark/>
          </w:tcPr>
          <w:p w14:paraId="5C5762D7" w14:textId="46B1ACCF"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$ 294 </w:t>
            </w:r>
          </w:p>
        </w:tc>
        <w:tc>
          <w:tcPr>
            <w:tcW w:w="1431" w:type="dxa"/>
            <w:hideMark/>
          </w:tcPr>
          <w:p w14:paraId="1F77C247" w14:textId="77D933D6"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$ 1.000 </w:t>
            </w:r>
          </w:p>
        </w:tc>
        <w:tc>
          <w:tcPr>
            <w:tcW w:w="1126" w:type="dxa"/>
            <w:hideMark/>
          </w:tcPr>
          <w:p w14:paraId="5064CE0C" w14:textId="279F23D5"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$ 409 </w:t>
            </w:r>
          </w:p>
        </w:tc>
        <w:tc>
          <w:tcPr>
            <w:tcW w:w="1145" w:type="dxa"/>
            <w:hideMark/>
          </w:tcPr>
          <w:p w14:paraId="46417B4D" w14:textId="50445CDC"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$ 480 </w:t>
            </w:r>
          </w:p>
        </w:tc>
        <w:tc>
          <w:tcPr>
            <w:tcW w:w="1145" w:type="dxa"/>
            <w:hideMark/>
          </w:tcPr>
          <w:p w14:paraId="592403C0" w14:textId="68A6DC6F"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$ 92 </w:t>
            </w:r>
          </w:p>
        </w:tc>
        <w:tc>
          <w:tcPr>
            <w:tcW w:w="1133" w:type="dxa"/>
            <w:hideMark/>
          </w:tcPr>
          <w:p w14:paraId="55B0C13A" w14:textId="56ED2A6B"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$ 10 </w:t>
            </w:r>
          </w:p>
        </w:tc>
      </w:tr>
      <w:tr w:rsidR="00D50350" w:rsidRPr="00D50350" w14:paraId="0A4E7887"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6D1920E7"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Campus universitario</w:t>
            </w:r>
          </w:p>
        </w:tc>
        <w:tc>
          <w:tcPr>
            <w:tcW w:w="1125" w:type="dxa"/>
            <w:hideMark/>
          </w:tcPr>
          <w:p w14:paraId="7810416A" w14:textId="6C394DFC"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$ 1.918 </w:t>
            </w:r>
          </w:p>
        </w:tc>
        <w:tc>
          <w:tcPr>
            <w:tcW w:w="1431" w:type="dxa"/>
            <w:hideMark/>
          </w:tcPr>
          <w:p w14:paraId="22AA7752" w14:textId="2CFE4563"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$ 1.576 </w:t>
            </w:r>
          </w:p>
        </w:tc>
        <w:tc>
          <w:tcPr>
            <w:tcW w:w="1126" w:type="dxa"/>
            <w:hideMark/>
          </w:tcPr>
          <w:p w14:paraId="00B0495A" w14:textId="2DCD07F6"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$ 3.036 </w:t>
            </w:r>
          </w:p>
        </w:tc>
        <w:tc>
          <w:tcPr>
            <w:tcW w:w="1145" w:type="dxa"/>
            <w:hideMark/>
          </w:tcPr>
          <w:p w14:paraId="05FABCE4" w14:textId="661E2ED8"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$ 3.983 </w:t>
            </w:r>
          </w:p>
        </w:tc>
        <w:tc>
          <w:tcPr>
            <w:tcW w:w="1145" w:type="dxa"/>
            <w:hideMark/>
          </w:tcPr>
          <w:p w14:paraId="7F2D3D55" w14:textId="7B19005D"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$ 5.004 </w:t>
            </w:r>
          </w:p>
        </w:tc>
        <w:tc>
          <w:tcPr>
            <w:tcW w:w="1133" w:type="dxa"/>
            <w:hideMark/>
          </w:tcPr>
          <w:p w14:paraId="0596EEA9" w14:textId="0F784A43"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$ 1.900 </w:t>
            </w:r>
          </w:p>
        </w:tc>
      </w:tr>
      <w:tr w:rsidR="00D50350" w:rsidRPr="00D50350" w14:paraId="573D47B5" w14:textId="77777777" w:rsidTr="00D50350">
        <w:trPr>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7F72902E"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DATACENTER</w:t>
            </w:r>
          </w:p>
        </w:tc>
        <w:tc>
          <w:tcPr>
            <w:tcW w:w="1125" w:type="dxa"/>
            <w:hideMark/>
          </w:tcPr>
          <w:p w14:paraId="69123D4E" w14:textId="7F8AA453"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$ 185 </w:t>
            </w:r>
          </w:p>
        </w:tc>
        <w:tc>
          <w:tcPr>
            <w:tcW w:w="1431" w:type="dxa"/>
            <w:hideMark/>
          </w:tcPr>
          <w:p w14:paraId="7BC6B844" w14:textId="13BBBF33"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$ 713 </w:t>
            </w:r>
          </w:p>
        </w:tc>
        <w:tc>
          <w:tcPr>
            <w:tcW w:w="1126" w:type="dxa"/>
            <w:hideMark/>
          </w:tcPr>
          <w:p w14:paraId="11980E3A" w14:textId="39247B7B"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$ 620 </w:t>
            </w:r>
          </w:p>
        </w:tc>
        <w:tc>
          <w:tcPr>
            <w:tcW w:w="1145" w:type="dxa"/>
            <w:hideMark/>
          </w:tcPr>
          <w:p w14:paraId="116694ED" w14:textId="1096D66E"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276BF103" w14:textId="0538F03A"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$ 62 </w:t>
            </w:r>
          </w:p>
        </w:tc>
        <w:tc>
          <w:tcPr>
            <w:tcW w:w="1133" w:type="dxa"/>
            <w:hideMark/>
          </w:tcPr>
          <w:p w14:paraId="7309BA4E" w14:textId="54CD627D"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r>
      <w:tr w:rsidR="00D50350" w:rsidRPr="00D50350" w14:paraId="64B9FD43"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64F4D0E1"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Emisora</w:t>
            </w:r>
          </w:p>
        </w:tc>
        <w:tc>
          <w:tcPr>
            <w:tcW w:w="1125" w:type="dxa"/>
            <w:hideMark/>
          </w:tcPr>
          <w:p w14:paraId="1EFE37AF" w14:textId="7D7CB70F"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431" w:type="dxa"/>
            <w:hideMark/>
          </w:tcPr>
          <w:p w14:paraId="19AAF64A" w14:textId="583571CA"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26" w:type="dxa"/>
            <w:hideMark/>
          </w:tcPr>
          <w:p w14:paraId="4EB733D2" w14:textId="64C8035F"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654BEF4E" w14:textId="0225FF7B"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2D287262" w14:textId="52216391"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$ 23 </w:t>
            </w:r>
          </w:p>
        </w:tc>
        <w:tc>
          <w:tcPr>
            <w:tcW w:w="1133" w:type="dxa"/>
            <w:hideMark/>
          </w:tcPr>
          <w:p w14:paraId="03B8D46D" w14:textId="15078ABB"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r>
      <w:tr w:rsidR="00D50350" w:rsidRPr="00D50350" w14:paraId="061E9E09" w14:textId="77777777" w:rsidTr="00D50350">
        <w:trPr>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4E35DEDD"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Escenarios deportivos</w:t>
            </w:r>
          </w:p>
        </w:tc>
        <w:tc>
          <w:tcPr>
            <w:tcW w:w="1125" w:type="dxa"/>
            <w:hideMark/>
          </w:tcPr>
          <w:p w14:paraId="03B390DE" w14:textId="4BE87B56"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$ 13 </w:t>
            </w:r>
          </w:p>
        </w:tc>
        <w:tc>
          <w:tcPr>
            <w:tcW w:w="1431" w:type="dxa"/>
            <w:hideMark/>
          </w:tcPr>
          <w:p w14:paraId="1AC93A31" w14:textId="11CE16F2"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$ 341 </w:t>
            </w:r>
          </w:p>
        </w:tc>
        <w:tc>
          <w:tcPr>
            <w:tcW w:w="1126" w:type="dxa"/>
            <w:hideMark/>
          </w:tcPr>
          <w:p w14:paraId="34CA1D5A" w14:textId="565212A0"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$ 37 </w:t>
            </w:r>
          </w:p>
        </w:tc>
        <w:tc>
          <w:tcPr>
            <w:tcW w:w="1145" w:type="dxa"/>
            <w:hideMark/>
          </w:tcPr>
          <w:p w14:paraId="48D4DE56" w14:textId="3E98309F"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$ 108 </w:t>
            </w:r>
          </w:p>
        </w:tc>
        <w:tc>
          <w:tcPr>
            <w:tcW w:w="1145" w:type="dxa"/>
            <w:hideMark/>
          </w:tcPr>
          <w:p w14:paraId="29625E83" w14:textId="39D8F134"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$ 421 </w:t>
            </w:r>
          </w:p>
        </w:tc>
        <w:tc>
          <w:tcPr>
            <w:tcW w:w="1133" w:type="dxa"/>
            <w:hideMark/>
          </w:tcPr>
          <w:p w14:paraId="3DD09631" w14:textId="67119B4B"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$ 311 </w:t>
            </w:r>
          </w:p>
        </w:tc>
      </w:tr>
      <w:tr w:rsidR="00D50350" w:rsidRPr="00D50350" w14:paraId="3A46A813"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5FA176A4"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Laboratorios</w:t>
            </w:r>
          </w:p>
        </w:tc>
        <w:tc>
          <w:tcPr>
            <w:tcW w:w="1125" w:type="dxa"/>
            <w:hideMark/>
          </w:tcPr>
          <w:p w14:paraId="50515455" w14:textId="18F1DADB"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$ 533 </w:t>
            </w:r>
          </w:p>
        </w:tc>
        <w:tc>
          <w:tcPr>
            <w:tcW w:w="1431" w:type="dxa"/>
            <w:hideMark/>
          </w:tcPr>
          <w:p w14:paraId="5B1D2A27" w14:textId="4A01C17E"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$ 2.836 </w:t>
            </w:r>
          </w:p>
        </w:tc>
        <w:tc>
          <w:tcPr>
            <w:tcW w:w="1126" w:type="dxa"/>
            <w:hideMark/>
          </w:tcPr>
          <w:p w14:paraId="08E6FBE1" w14:textId="14279936"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$ 1.388 </w:t>
            </w:r>
          </w:p>
        </w:tc>
        <w:tc>
          <w:tcPr>
            <w:tcW w:w="1145" w:type="dxa"/>
            <w:hideMark/>
          </w:tcPr>
          <w:p w14:paraId="205994D2" w14:textId="40DA2737"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$ 2.276 </w:t>
            </w:r>
          </w:p>
        </w:tc>
        <w:tc>
          <w:tcPr>
            <w:tcW w:w="1145" w:type="dxa"/>
            <w:hideMark/>
          </w:tcPr>
          <w:p w14:paraId="27AF0AF7" w14:textId="25001339"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$ 3.801 </w:t>
            </w:r>
          </w:p>
        </w:tc>
        <w:tc>
          <w:tcPr>
            <w:tcW w:w="1133" w:type="dxa"/>
            <w:hideMark/>
          </w:tcPr>
          <w:p w14:paraId="014474EF" w14:textId="64E6A1C6"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$ 5.572 </w:t>
            </w:r>
          </w:p>
        </w:tc>
      </w:tr>
      <w:tr w:rsidR="00D50350" w:rsidRPr="00D50350" w14:paraId="51DD0B4A" w14:textId="77777777" w:rsidTr="00D50350">
        <w:trPr>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43AAC409"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Mobiliario</w:t>
            </w:r>
          </w:p>
        </w:tc>
        <w:tc>
          <w:tcPr>
            <w:tcW w:w="1125" w:type="dxa"/>
            <w:hideMark/>
          </w:tcPr>
          <w:p w14:paraId="092F5820" w14:textId="68F83275"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$ 14 </w:t>
            </w:r>
          </w:p>
        </w:tc>
        <w:tc>
          <w:tcPr>
            <w:tcW w:w="1431" w:type="dxa"/>
            <w:hideMark/>
          </w:tcPr>
          <w:p w14:paraId="785488B5" w14:textId="134D5990"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26" w:type="dxa"/>
            <w:hideMark/>
          </w:tcPr>
          <w:p w14:paraId="5E0D73B9" w14:textId="353732F6"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451D76AB" w14:textId="34B6929B"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165E5EA2" w14:textId="6CD84E85"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33" w:type="dxa"/>
            <w:hideMark/>
          </w:tcPr>
          <w:p w14:paraId="3D611E88" w14:textId="2E1C4A96"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r>
      <w:tr w:rsidR="00D50350" w:rsidRPr="00D50350" w14:paraId="4BBDD25B"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28070574"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Oficinas</w:t>
            </w:r>
          </w:p>
        </w:tc>
        <w:tc>
          <w:tcPr>
            <w:tcW w:w="1125" w:type="dxa"/>
            <w:hideMark/>
          </w:tcPr>
          <w:p w14:paraId="3068F860" w14:textId="7FCF689C"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 </w:t>
            </w:r>
          </w:p>
        </w:tc>
        <w:tc>
          <w:tcPr>
            <w:tcW w:w="1431" w:type="dxa"/>
            <w:hideMark/>
          </w:tcPr>
          <w:p w14:paraId="460D4E6C" w14:textId="70FDB742"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$ 311 </w:t>
            </w:r>
          </w:p>
        </w:tc>
        <w:tc>
          <w:tcPr>
            <w:tcW w:w="1126" w:type="dxa"/>
            <w:hideMark/>
          </w:tcPr>
          <w:p w14:paraId="07864D05" w14:textId="280E87D6"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$ 1.269 </w:t>
            </w:r>
          </w:p>
        </w:tc>
        <w:tc>
          <w:tcPr>
            <w:tcW w:w="1145" w:type="dxa"/>
            <w:hideMark/>
          </w:tcPr>
          <w:p w14:paraId="46456CBE" w14:textId="06FA16E3"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$ 1.547 </w:t>
            </w:r>
          </w:p>
        </w:tc>
        <w:tc>
          <w:tcPr>
            <w:tcW w:w="1145" w:type="dxa"/>
            <w:hideMark/>
          </w:tcPr>
          <w:p w14:paraId="70698A24" w14:textId="7356B46A"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$ 200 </w:t>
            </w:r>
          </w:p>
        </w:tc>
        <w:tc>
          <w:tcPr>
            <w:tcW w:w="1133" w:type="dxa"/>
            <w:hideMark/>
          </w:tcPr>
          <w:p w14:paraId="1BE56E1B" w14:textId="1B8B6CE8"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$ 137 </w:t>
            </w:r>
          </w:p>
        </w:tc>
      </w:tr>
      <w:tr w:rsidR="00D50350" w:rsidRPr="00D50350" w14:paraId="48097CAC" w14:textId="77777777" w:rsidTr="00D50350">
        <w:trPr>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4C3BD103"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Salas de Informática</w:t>
            </w:r>
          </w:p>
        </w:tc>
        <w:tc>
          <w:tcPr>
            <w:tcW w:w="1125" w:type="dxa"/>
            <w:hideMark/>
          </w:tcPr>
          <w:p w14:paraId="2DCE45C5" w14:textId="29AD9201"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$ 300 </w:t>
            </w:r>
          </w:p>
        </w:tc>
        <w:tc>
          <w:tcPr>
            <w:tcW w:w="1431" w:type="dxa"/>
            <w:hideMark/>
          </w:tcPr>
          <w:p w14:paraId="5D575CB3" w14:textId="65F9F725"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$ 2.131 </w:t>
            </w:r>
          </w:p>
        </w:tc>
        <w:tc>
          <w:tcPr>
            <w:tcW w:w="1126" w:type="dxa"/>
            <w:hideMark/>
          </w:tcPr>
          <w:p w14:paraId="7B8C1976" w14:textId="16DA1CD9"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48B9CD49" w14:textId="10A1AFC2"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1B054875" w14:textId="2A56FF19"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33" w:type="dxa"/>
            <w:hideMark/>
          </w:tcPr>
          <w:p w14:paraId="34B9694D" w14:textId="202200DE"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r>
      <w:tr w:rsidR="00D50350" w:rsidRPr="00D50350" w14:paraId="1CFFE3FE"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2F00BA30"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Zonas de estudio</w:t>
            </w:r>
          </w:p>
        </w:tc>
        <w:tc>
          <w:tcPr>
            <w:tcW w:w="1125" w:type="dxa"/>
            <w:hideMark/>
          </w:tcPr>
          <w:p w14:paraId="49F385E6" w14:textId="21D9F616"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$ 102 </w:t>
            </w:r>
          </w:p>
        </w:tc>
        <w:tc>
          <w:tcPr>
            <w:tcW w:w="1431" w:type="dxa"/>
            <w:hideMark/>
          </w:tcPr>
          <w:p w14:paraId="1E64A6D1" w14:textId="2271D35C"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$ 154 </w:t>
            </w:r>
          </w:p>
        </w:tc>
        <w:tc>
          <w:tcPr>
            <w:tcW w:w="1126" w:type="dxa"/>
            <w:hideMark/>
          </w:tcPr>
          <w:p w14:paraId="166066BC" w14:textId="6586C744"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0B5206BA" w14:textId="1032163B"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64D8CB89" w14:textId="453D42B9"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$ 138 </w:t>
            </w:r>
          </w:p>
        </w:tc>
        <w:tc>
          <w:tcPr>
            <w:tcW w:w="1133" w:type="dxa"/>
            <w:hideMark/>
          </w:tcPr>
          <w:p w14:paraId="6C0528EC" w14:textId="3F9769C0"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r>
      <w:tr w:rsidR="00D50350" w:rsidRPr="00D50350" w14:paraId="670D368A" w14:textId="77777777" w:rsidTr="00D50350">
        <w:trPr>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1FDA3D4D" w14:textId="77777777" w:rsidR="00D50350" w:rsidRPr="00D50350" w:rsidRDefault="00D50350" w:rsidP="00D50350">
            <w:pPr>
              <w:spacing w:before="0" w:after="0"/>
              <w:rPr>
                <w:rFonts w:eastAsia="Times New Roman" w:cs="Segoe UI"/>
                <w:color w:val="000000"/>
                <w:lang w:val="es-ES" w:eastAsia="es-ES"/>
              </w:rPr>
            </w:pPr>
            <w:r w:rsidRPr="00D50350">
              <w:rPr>
                <w:rFonts w:eastAsia="Times New Roman" w:cs="Segoe UI"/>
                <w:color w:val="000000"/>
                <w:lang w:val="es-ES" w:eastAsia="es-ES"/>
              </w:rPr>
              <w:t>OTROS</w:t>
            </w:r>
          </w:p>
        </w:tc>
        <w:tc>
          <w:tcPr>
            <w:tcW w:w="1125" w:type="dxa"/>
            <w:hideMark/>
          </w:tcPr>
          <w:p w14:paraId="126E6507" w14:textId="3162C7A3"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431" w:type="dxa"/>
            <w:hideMark/>
          </w:tcPr>
          <w:p w14:paraId="30267DE8" w14:textId="29ABD6A5"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26" w:type="dxa"/>
            <w:hideMark/>
          </w:tcPr>
          <w:p w14:paraId="4FB9083E" w14:textId="458FF0C0"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c>
          <w:tcPr>
            <w:tcW w:w="1145" w:type="dxa"/>
            <w:hideMark/>
          </w:tcPr>
          <w:p w14:paraId="087E1FFF" w14:textId="448C5C0F"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$ 24 </w:t>
            </w:r>
          </w:p>
        </w:tc>
        <w:tc>
          <w:tcPr>
            <w:tcW w:w="1145" w:type="dxa"/>
            <w:hideMark/>
          </w:tcPr>
          <w:p w14:paraId="699E3B92" w14:textId="173DFA7B"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$ 3 </w:t>
            </w:r>
          </w:p>
        </w:tc>
        <w:tc>
          <w:tcPr>
            <w:tcW w:w="1133" w:type="dxa"/>
            <w:hideMark/>
          </w:tcPr>
          <w:p w14:paraId="76604A3E" w14:textId="1DE880B4" w:rsidR="00D50350" w:rsidRPr="00D50350" w:rsidRDefault="00D50350" w:rsidP="00D50350">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 </w:t>
            </w:r>
          </w:p>
        </w:tc>
      </w:tr>
      <w:tr w:rsidR="00D50350" w:rsidRPr="00D50350" w14:paraId="71847E37" w14:textId="77777777" w:rsidTr="00D503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35" w:type="dxa"/>
            <w:hideMark/>
          </w:tcPr>
          <w:p w14:paraId="00F23C74" w14:textId="77777777" w:rsidR="00D50350" w:rsidRPr="00D50350" w:rsidRDefault="00D50350" w:rsidP="00D50350">
            <w:pPr>
              <w:spacing w:before="0" w:after="0"/>
              <w:jc w:val="center"/>
              <w:rPr>
                <w:rFonts w:eastAsia="Times New Roman" w:cs="Segoe UI"/>
                <w:color w:val="000000"/>
                <w:lang w:val="es-ES" w:eastAsia="es-ES"/>
              </w:rPr>
            </w:pPr>
            <w:r w:rsidRPr="00D50350">
              <w:rPr>
                <w:rFonts w:eastAsia="Times New Roman" w:cs="Segoe UI"/>
                <w:color w:val="000000"/>
                <w:lang w:val="es-ES" w:eastAsia="es-ES"/>
              </w:rPr>
              <w:t>Total general</w:t>
            </w:r>
          </w:p>
        </w:tc>
        <w:tc>
          <w:tcPr>
            <w:tcW w:w="1125" w:type="dxa"/>
            <w:hideMark/>
          </w:tcPr>
          <w:p w14:paraId="6805EC54" w14:textId="0AC9C39B"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$ 4.098 </w:t>
            </w:r>
          </w:p>
        </w:tc>
        <w:tc>
          <w:tcPr>
            <w:tcW w:w="1431" w:type="dxa"/>
            <w:hideMark/>
          </w:tcPr>
          <w:p w14:paraId="46484994" w14:textId="365429DE"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$ 10.318 </w:t>
            </w:r>
          </w:p>
        </w:tc>
        <w:tc>
          <w:tcPr>
            <w:tcW w:w="1126" w:type="dxa"/>
            <w:hideMark/>
          </w:tcPr>
          <w:p w14:paraId="5E3B89C1" w14:textId="30975328"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$ 7.661 </w:t>
            </w:r>
          </w:p>
        </w:tc>
        <w:tc>
          <w:tcPr>
            <w:tcW w:w="1145" w:type="dxa"/>
            <w:hideMark/>
          </w:tcPr>
          <w:p w14:paraId="2D20ACE5" w14:textId="1CC20998"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$ 12.190 </w:t>
            </w:r>
          </w:p>
        </w:tc>
        <w:tc>
          <w:tcPr>
            <w:tcW w:w="1145" w:type="dxa"/>
            <w:hideMark/>
          </w:tcPr>
          <w:p w14:paraId="5995A9BA" w14:textId="4866D2DA"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$ 11.494 </w:t>
            </w:r>
          </w:p>
        </w:tc>
        <w:tc>
          <w:tcPr>
            <w:tcW w:w="1133" w:type="dxa"/>
            <w:hideMark/>
          </w:tcPr>
          <w:p w14:paraId="5D9D2AEC" w14:textId="099EEB3D" w:rsidR="00D50350" w:rsidRPr="00D50350" w:rsidRDefault="00D50350" w:rsidP="00D50350">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lang w:val="es-ES" w:eastAsia="es-ES"/>
              </w:rPr>
            </w:pPr>
            <w:r w:rsidRPr="00D50350">
              <w:rPr>
                <w:rFonts w:eastAsia="Times New Roman" w:cs="Segoe UI"/>
                <w:color w:val="000000"/>
                <w:lang w:val="es-ES" w:eastAsia="es-ES"/>
              </w:rPr>
              <w:t xml:space="preserve"> $ 9.246 </w:t>
            </w:r>
          </w:p>
        </w:tc>
      </w:tr>
    </w:tbl>
    <w:p w14:paraId="72BB6520" w14:textId="77777777" w:rsidR="00D50350" w:rsidRDefault="00D50350" w:rsidP="00D50350">
      <w:pPr>
        <w:spacing w:line="276" w:lineRule="auto"/>
        <w:jc w:val="center"/>
        <w:rPr>
          <w:lang w:val="es-CO"/>
        </w:rPr>
      </w:pPr>
      <w:r>
        <w:rPr>
          <w:b/>
          <w:lang w:val="es-CO"/>
        </w:rPr>
        <w:t xml:space="preserve">Fuente: </w:t>
      </w:r>
      <w:r>
        <w:rPr>
          <w:lang w:val="es-CO"/>
        </w:rPr>
        <w:t>Unidad de Gestión y Planeación – Universidad de Córdoba</w:t>
      </w:r>
    </w:p>
    <w:p w14:paraId="10B746AA" w14:textId="5ECEEEDC" w:rsidR="00D50350" w:rsidRPr="006965BF" w:rsidRDefault="00D50350" w:rsidP="002A0792">
      <w:pPr>
        <w:spacing w:line="276" w:lineRule="auto"/>
        <w:jc w:val="both"/>
        <w:rPr>
          <w:lang w:val="es-CO"/>
        </w:rPr>
      </w:pPr>
      <w:r>
        <w:rPr>
          <w:lang w:val="es-CO"/>
        </w:rPr>
        <w:t>Los recursos de la estampilla han sido fundamentales para el mejoramiento de la infraestructura física de la universidad, sin embargo en la Ley 382 de 1997 se estableció que la emisión de la estampilla solamente sería hasta alcanzar un recaudo de $100 m</w:t>
      </w:r>
      <w:r w:rsidR="002A0792">
        <w:rPr>
          <w:lang w:val="es-CO"/>
        </w:rPr>
        <w:t xml:space="preserve">il millones. Como se mencionó anteriormente a julio de 2018 el recaudo de la estampilla alcanza los $99,887 millones lo que significa que según la Ley restan $113 millones para alcanzar el totalidad de la emisión. Por tal razón, es necesaria la renovación de la estampilla como se propone en la presente iniciativa legislativa. </w:t>
      </w:r>
    </w:p>
    <w:p w14:paraId="73B1B098" w14:textId="35DADB1C" w:rsidR="00543A97" w:rsidRDefault="002A0792" w:rsidP="00D42684">
      <w:pPr>
        <w:pStyle w:val="Ttulo4"/>
        <w:spacing w:before="0" w:after="0" w:line="276" w:lineRule="auto"/>
        <w:jc w:val="both"/>
        <w:rPr>
          <w:lang w:val="es-CO"/>
        </w:rPr>
      </w:pPr>
      <w:r>
        <w:rPr>
          <w:lang w:val="es-CO"/>
        </w:rPr>
        <w:t>Marco jurídico</w:t>
      </w:r>
    </w:p>
    <w:p w14:paraId="3F1D4AC7" w14:textId="35C249EE" w:rsidR="002A0792" w:rsidRDefault="002A0792" w:rsidP="002A0792">
      <w:pPr>
        <w:spacing w:line="276" w:lineRule="auto"/>
        <w:jc w:val="both"/>
      </w:pPr>
      <w:r>
        <w:t>El proyecto en estudio fundamenta su  presentación, en las facultades que la constitución le otorga al Senado de la República en su Artículo 150º  Numeral  12º,  el cual establece:</w:t>
      </w:r>
    </w:p>
    <w:p w14:paraId="61CA9A0B" w14:textId="77777777" w:rsidR="002A0792" w:rsidRDefault="002A0792" w:rsidP="002A0792">
      <w:pPr>
        <w:spacing w:line="276" w:lineRule="auto"/>
        <w:jc w:val="both"/>
      </w:pPr>
    </w:p>
    <w:p w14:paraId="34848B76" w14:textId="77777777" w:rsidR="002A0792" w:rsidRPr="00663549" w:rsidRDefault="002A0792" w:rsidP="00663549">
      <w:pPr>
        <w:spacing w:line="276" w:lineRule="auto"/>
        <w:ind w:left="708"/>
        <w:jc w:val="both"/>
        <w:rPr>
          <w:i/>
        </w:rPr>
      </w:pPr>
      <w:r w:rsidRPr="00663549">
        <w:rPr>
          <w:i/>
        </w:rPr>
        <w:t>Artículo 150. Corresponde al Congreso hacer las leyes, Por medio de ellas ejerce las siguientes funciones:</w:t>
      </w:r>
    </w:p>
    <w:p w14:paraId="5BE7042F" w14:textId="77777777" w:rsidR="002A0792" w:rsidRPr="00663549" w:rsidRDefault="002A0792" w:rsidP="00663549">
      <w:pPr>
        <w:spacing w:line="276" w:lineRule="auto"/>
        <w:ind w:left="708"/>
        <w:jc w:val="both"/>
        <w:rPr>
          <w:i/>
        </w:rPr>
      </w:pPr>
      <w:r w:rsidRPr="00663549">
        <w:rPr>
          <w:i/>
        </w:rPr>
        <w:t>(..)</w:t>
      </w:r>
    </w:p>
    <w:p w14:paraId="1907CA21" w14:textId="77777777" w:rsidR="002A0792" w:rsidRPr="00663549" w:rsidRDefault="002A0792" w:rsidP="00663549">
      <w:pPr>
        <w:spacing w:line="276" w:lineRule="auto"/>
        <w:ind w:left="708"/>
        <w:jc w:val="both"/>
        <w:rPr>
          <w:i/>
        </w:rPr>
      </w:pPr>
      <w:r w:rsidRPr="00663549">
        <w:rPr>
          <w:i/>
        </w:rPr>
        <w:t>12. Establecer contribuciones fiscales y, excepcionalmente, contribuciones parafiscales en los casos y bajo las condiciones que establezca la ley</w:t>
      </w:r>
    </w:p>
    <w:p w14:paraId="2DA3E220" w14:textId="77777777" w:rsidR="002A0792" w:rsidRDefault="002A0792" w:rsidP="002A0792">
      <w:pPr>
        <w:spacing w:line="276" w:lineRule="auto"/>
        <w:jc w:val="both"/>
      </w:pPr>
      <w:r>
        <w:t>De la misma manera, la Carta Constitucional en su Artículo 338, consagra un principio sobre esta materia así:</w:t>
      </w:r>
    </w:p>
    <w:p w14:paraId="3EE3EADF" w14:textId="77777777" w:rsidR="002A0792" w:rsidRPr="00663549" w:rsidRDefault="002A0792" w:rsidP="00663549">
      <w:pPr>
        <w:spacing w:line="276" w:lineRule="auto"/>
        <w:ind w:left="708"/>
        <w:jc w:val="both"/>
        <w:rPr>
          <w:i/>
        </w:rPr>
      </w:pPr>
      <w:r w:rsidRPr="00663549">
        <w:rPr>
          <w:i/>
        </w:rPr>
        <w:t>ARTICULO 338.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14:paraId="36E95A10" w14:textId="46A36C4F" w:rsidR="002A0792" w:rsidRDefault="002A0792" w:rsidP="002A0792">
      <w:pPr>
        <w:spacing w:line="276" w:lineRule="auto"/>
        <w:jc w:val="both"/>
      </w:pPr>
      <w:r>
        <w:t xml:space="preserve">Frente a la creación de las estampillas, igualmente la Corte Constitucional </w:t>
      </w:r>
      <w:r w:rsidR="00663549">
        <w:t>ha hecho</w:t>
      </w:r>
      <w:r>
        <w:t xml:space="preserve"> diferentes pronunciamientos frente al tem</w:t>
      </w:r>
      <w:r w:rsidR="00663549">
        <w:t>a de los impuestos parafiscales, dentro de los cuales en l</w:t>
      </w:r>
      <w:r>
        <w:t>a Sentencia C-134 de 2009, siendo Magistrado Ponente Mauri</w:t>
      </w:r>
      <w:r w:rsidR="00663549">
        <w:t xml:space="preserve">cio González Cuervo dijo: </w:t>
      </w:r>
    </w:p>
    <w:p w14:paraId="3E73FCAD" w14:textId="4C6DD103" w:rsidR="002A0792" w:rsidRPr="00B430A8" w:rsidRDefault="002A0792" w:rsidP="00B430A8">
      <w:pPr>
        <w:spacing w:line="276" w:lineRule="auto"/>
        <w:ind w:left="708"/>
        <w:jc w:val="both"/>
        <w:rPr>
          <w:i/>
        </w:rPr>
      </w:pPr>
      <w:r w:rsidRPr="00B430A8">
        <w:rPr>
          <w:rStyle w:val="iaj"/>
          <w:i/>
        </w:rPr>
        <w:t xml:space="preserve">“Por el principio de legalidad previsto en </w:t>
      </w:r>
      <w:r w:rsidR="00663549" w:rsidRPr="00B430A8">
        <w:rPr>
          <w:rStyle w:val="iaj"/>
          <w:i/>
        </w:rPr>
        <w:t>la</w:t>
      </w:r>
      <w:r w:rsidRPr="00B430A8">
        <w:rPr>
          <w:rStyle w:val="iaj"/>
          <w:i/>
        </w:rPr>
        <w:t xml:space="preserve"> Constitución Política, la ley, las ordenanzas y los acuerdos deben fijar, directamente, los sujetos activos y pasivos, los hechos y las bases gravables, y las tarifas de los impuestos, lo que constituye una regla de legalidad de los elementos del tributo que se extiende a los impuestos, las tasas y las contribuciones, aunque por excepción, tratándose de tasas y contribuciones, el elemento “tarifa” de estos tributos puede ser definido por la autoridad administrativa, pero tal habilitación tiene como marco legal para su ejercicio el que previamente deben ser fijados por la ley, las ordenanzas o los acuerdos el sistema y el método para definir tales costos y beneficios, y la forma de hacer su reparto. En el presente caso, aún si la ley habilitante - y no el Decreto Ley -hubiera establecido las tasas por concepto de licencias y credenciales, la autorización a la Superintendencia contenida en los artículos 87 y 111 del Decreto 356 de 1994 para cuantificarlos, estaría viciada de inconstitucionalidad, al omitir “el sistema” y “el método” de cálculo de la tarifa.”</w:t>
      </w:r>
    </w:p>
    <w:p w14:paraId="3A9DD907" w14:textId="77777777" w:rsidR="002A0792" w:rsidRDefault="002A0792" w:rsidP="002A0792">
      <w:pPr>
        <w:spacing w:line="276" w:lineRule="auto"/>
        <w:jc w:val="both"/>
      </w:pPr>
      <w:r>
        <w:t>“Entonces, las "estampillas", dependiendo de si se imponen como medio de comprobación para acreditar el pago del servicio público recibido, tendrán el carácter de administrativas; o de parafiscales, si corresponden al cumplimento de una prestación que se causa a favor de la entidad nacional o territorial como sujeto impositivo fiscal.</w:t>
      </w:r>
    </w:p>
    <w:p w14:paraId="7C1CFF97" w14:textId="52604404" w:rsidR="002A0792" w:rsidRDefault="00663549" w:rsidP="002A0792">
      <w:pPr>
        <w:spacing w:line="276" w:lineRule="auto"/>
        <w:jc w:val="both"/>
      </w:pPr>
      <w:r>
        <w:t xml:space="preserve">Por otra parte, el </w:t>
      </w:r>
      <w:r w:rsidR="002A0792">
        <w:t xml:space="preserve">artículo 69 de la Constitución </w:t>
      </w:r>
      <w:r>
        <w:t>Política de Colombia se establece la n</w:t>
      </w:r>
      <w:r w:rsidR="002A0792">
        <w:t>ecesidad de que todo colombiano pueda acceder a la educación, siendo este un servicio público con función social que debe ser prestado de forma integral a todos los colombianos busca</w:t>
      </w:r>
      <w:r>
        <w:t>ndo</w:t>
      </w:r>
      <w:r w:rsidR="002A0792">
        <w:t xml:space="preserve"> el acceso “al conocimiento, a la ciencia, a la técnica y valores de la cultura”</w:t>
      </w:r>
    </w:p>
    <w:p w14:paraId="430ED3B6" w14:textId="77777777" w:rsidR="00663549" w:rsidRPr="00663549" w:rsidRDefault="00663549" w:rsidP="00663549">
      <w:pPr>
        <w:spacing w:before="100" w:beforeAutospacing="1" w:after="100" w:afterAutospacing="1"/>
        <w:ind w:left="708"/>
        <w:jc w:val="both"/>
        <w:rPr>
          <w:rFonts w:eastAsia="Times New Roman" w:cs="Segoe UI"/>
          <w:i/>
          <w:lang w:val="es-ES" w:eastAsia="es-ES"/>
        </w:rPr>
      </w:pPr>
      <w:bookmarkStart w:id="1" w:name="69"/>
      <w:r w:rsidRPr="00663549">
        <w:rPr>
          <w:rFonts w:eastAsia="Times New Roman" w:cs="Segoe UI"/>
          <w:i/>
          <w:lang w:val="es-ES" w:eastAsia="es-ES"/>
        </w:rPr>
        <w:t xml:space="preserve">ARTICULO 69. </w:t>
      </w:r>
      <w:bookmarkEnd w:id="1"/>
      <w:r w:rsidRPr="00663549">
        <w:rPr>
          <w:rFonts w:eastAsia="Times New Roman" w:cs="Segoe UI"/>
          <w:i/>
          <w:lang w:val="es-ES" w:eastAsia="es-ES"/>
        </w:rPr>
        <w:t xml:space="preserve">Se garantiza la autonomía universitaria. Las universidades podrán darse sus directivas y regirse por sus propios estatutos, de acuerdo con la ley. </w:t>
      </w:r>
    </w:p>
    <w:p w14:paraId="2ADCD14C" w14:textId="77777777" w:rsidR="00663549" w:rsidRPr="00663549" w:rsidRDefault="00663549" w:rsidP="00663549">
      <w:pPr>
        <w:spacing w:before="100" w:beforeAutospacing="1" w:after="100" w:afterAutospacing="1"/>
        <w:ind w:left="708"/>
        <w:jc w:val="both"/>
        <w:rPr>
          <w:rFonts w:eastAsia="Times New Roman" w:cs="Segoe UI"/>
          <w:i/>
          <w:lang w:val="es-ES" w:eastAsia="es-ES"/>
        </w:rPr>
      </w:pPr>
      <w:r w:rsidRPr="00663549">
        <w:rPr>
          <w:rFonts w:eastAsia="Times New Roman" w:cs="Segoe UI"/>
          <w:i/>
          <w:lang w:val="es-ES" w:eastAsia="es-ES"/>
        </w:rPr>
        <w:t xml:space="preserve">La ley establecerá un régimen especial para las universidades del Estado. </w:t>
      </w:r>
    </w:p>
    <w:p w14:paraId="56764882" w14:textId="77777777" w:rsidR="00663549" w:rsidRPr="00663549" w:rsidRDefault="00663549" w:rsidP="00663549">
      <w:pPr>
        <w:spacing w:before="100" w:beforeAutospacing="1" w:after="100" w:afterAutospacing="1"/>
        <w:ind w:left="708"/>
        <w:jc w:val="both"/>
        <w:rPr>
          <w:rFonts w:eastAsia="Times New Roman" w:cs="Segoe UI"/>
          <w:i/>
          <w:lang w:val="es-ES" w:eastAsia="es-ES"/>
        </w:rPr>
      </w:pPr>
      <w:r w:rsidRPr="00663549">
        <w:rPr>
          <w:rFonts w:eastAsia="Times New Roman" w:cs="Segoe UI"/>
          <w:i/>
          <w:lang w:val="es-ES" w:eastAsia="es-ES"/>
        </w:rPr>
        <w:t xml:space="preserve">El Estado fortalecerá la investigación científica en las universidades oficiales y privadas y ofrecerá las condiciones especiales para su desarrollo. </w:t>
      </w:r>
    </w:p>
    <w:p w14:paraId="6B69BF83" w14:textId="77777777" w:rsidR="00663549" w:rsidRPr="00663549" w:rsidRDefault="00663549" w:rsidP="00663549">
      <w:pPr>
        <w:spacing w:before="100" w:beforeAutospacing="1" w:after="100" w:afterAutospacing="1"/>
        <w:ind w:left="708"/>
        <w:jc w:val="both"/>
        <w:rPr>
          <w:rFonts w:eastAsia="Times New Roman" w:cs="Segoe UI"/>
          <w:i/>
          <w:lang w:val="es-ES" w:eastAsia="es-ES"/>
        </w:rPr>
      </w:pPr>
      <w:r w:rsidRPr="00663549">
        <w:rPr>
          <w:rFonts w:eastAsia="Times New Roman" w:cs="Segoe UI"/>
          <w:i/>
          <w:lang w:val="es-ES" w:eastAsia="es-ES"/>
        </w:rPr>
        <w:t xml:space="preserve">El Estado facilitará mecanismos financieros que hagan posible el acceso de todas las personas aptas a la educación superior. </w:t>
      </w:r>
    </w:p>
    <w:p w14:paraId="28149804" w14:textId="604B1856" w:rsidR="002A0792" w:rsidRDefault="002A0792" w:rsidP="002A0792">
      <w:pPr>
        <w:spacing w:line="276" w:lineRule="auto"/>
        <w:jc w:val="both"/>
      </w:pPr>
      <w:r>
        <w:t>Es necesario proveerle a las Universidades Públicas recursos suficientes para incentivar la prestación de s</w:t>
      </w:r>
      <w:r w:rsidR="00B430A8">
        <w:t xml:space="preserve">ervicios  educativos de calidad, </w:t>
      </w:r>
      <w:r>
        <w:t>estos recursos deben ser destinarlos en infraestructura educativa (construcción, adecuación, remodelación y mantenimiento de la planta físi</w:t>
      </w:r>
      <w:r w:rsidR="00B430A8">
        <w:t xml:space="preserve">ca,  bibliotecas, entre otros.) </w:t>
      </w:r>
    </w:p>
    <w:p w14:paraId="78A64978" w14:textId="77777777" w:rsidR="00B210EC" w:rsidRDefault="00B210EC" w:rsidP="002A0792">
      <w:pPr>
        <w:spacing w:line="276" w:lineRule="auto"/>
        <w:jc w:val="both"/>
      </w:pPr>
    </w:p>
    <w:p w14:paraId="24637EE7" w14:textId="77777777" w:rsidR="00B210EC" w:rsidRDefault="00B210EC" w:rsidP="002A0792">
      <w:pPr>
        <w:spacing w:line="276" w:lineRule="auto"/>
        <w:jc w:val="both"/>
      </w:pPr>
    </w:p>
    <w:p w14:paraId="03E686A7" w14:textId="77777777" w:rsidR="00B210EC" w:rsidRDefault="00B210EC" w:rsidP="00B210EC">
      <w:pPr>
        <w:spacing w:before="0" w:after="0" w:line="276" w:lineRule="auto"/>
        <w:jc w:val="center"/>
        <w:rPr>
          <w:rFonts w:cs="Segoe UI"/>
          <w:b/>
          <w:sz w:val="24"/>
          <w:szCs w:val="24"/>
          <w:lang w:val="es-CO"/>
        </w:rPr>
      </w:pPr>
      <w:r>
        <w:rPr>
          <w:rFonts w:cs="Segoe UI"/>
          <w:b/>
          <w:sz w:val="24"/>
          <w:szCs w:val="24"/>
          <w:lang w:val="es-CO"/>
        </w:rPr>
        <w:t>RUBY HELENA CHAGÜI SPATH</w:t>
      </w:r>
    </w:p>
    <w:p w14:paraId="3DC85915" w14:textId="77777777" w:rsidR="00B210EC" w:rsidRDefault="00B210EC" w:rsidP="00B210EC">
      <w:pPr>
        <w:spacing w:before="0" w:after="0" w:line="276" w:lineRule="auto"/>
        <w:jc w:val="center"/>
        <w:rPr>
          <w:rFonts w:cs="Segoe UI"/>
          <w:sz w:val="24"/>
          <w:szCs w:val="24"/>
          <w:lang w:val="es-CO"/>
        </w:rPr>
      </w:pPr>
      <w:r>
        <w:rPr>
          <w:rFonts w:cs="Segoe UI"/>
          <w:sz w:val="24"/>
          <w:szCs w:val="24"/>
          <w:lang w:val="es-CO"/>
        </w:rPr>
        <w:t>Senadora de la República</w:t>
      </w:r>
    </w:p>
    <w:p w14:paraId="4A0E5F1C" w14:textId="77777777" w:rsidR="00B210EC" w:rsidRPr="00E61503" w:rsidRDefault="00B210EC" w:rsidP="00B210EC">
      <w:pPr>
        <w:spacing w:before="0" w:after="0" w:line="276" w:lineRule="auto"/>
        <w:jc w:val="center"/>
        <w:rPr>
          <w:rFonts w:cs="Segoe UI"/>
          <w:sz w:val="24"/>
          <w:szCs w:val="24"/>
          <w:lang w:val="es-CO"/>
        </w:rPr>
      </w:pPr>
      <w:r>
        <w:rPr>
          <w:rFonts w:cs="Segoe UI"/>
          <w:sz w:val="24"/>
          <w:szCs w:val="24"/>
          <w:lang w:val="es-CO"/>
        </w:rPr>
        <w:t>Partido Centro Democrático</w:t>
      </w:r>
    </w:p>
    <w:p w14:paraId="7A50355F" w14:textId="57D90601" w:rsidR="00543A97" w:rsidRDefault="00543A97" w:rsidP="00D42684">
      <w:pPr>
        <w:spacing w:before="0" w:after="0" w:line="276" w:lineRule="auto"/>
        <w:jc w:val="both"/>
        <w:rPr>
          <w:rFonts w:cs="Segoe UI"/>
          <w:b/>
          <w:sz w:val="24"/>
          <w:szCs w:val="24"/>
          <w:lang w:val="es-CO"/>
        </w:rPr>
      </w:pPr>
      <w:r>
        <w:rPr>
          <w:rFonts w:cs="Segoe UI"/>
          <w:b/>
          <w:sz w:val="24"/>
          <w:szCs w:val="24"/>
          <w:lang w:val="es-CO"/>
        </w:rPr>
        <w:br w:type="page"/>
      </w:r>
    </w:p>
    <w:p w14:paraId="4140390A" w14:textId="57D90601" w:rsidR="0001014F" w:rsidRPr="00E61503" w:rsidRDefault="0001014F" w:rsidP="00D42684">
      <w:pPr>
        <w:spacing w:before="0" w:after="0" w:line="276" w:lineRule="auto"/>
        <w:jc w:val="both"/>
        <w:rPr>
          <w:rFonts w:cs="Segoe UI"/>
          <w:b/>
          <w:sz w:val="24"/>
          <w:szCs w:val="24"/>
          <w:lang w:val="es-CO"/>
        </w:rPr>
      </w:pPr>
    </w:p>
    <w:p w14:paraId="721C8966" w14:textId="0139C81D" w:rsidR="0001014F" w:rsidRPr="00E61503" w:rsidRDefault="0001014F" w:rsidP="005005F3">
      <w:pPr>
        <w:spacing w:before="0" w:after="0" w:line="276" w:lineRule="auto"/>
        <w:jc w:val="center"/>
        <w:rPr>
          <w:rFonts w:cs="Segoe UI"/>
          <w:b/>
          <w:sz w:val="24"/>
          <w:szCs w:val="24"/>
          <w:lang w:val="es-CO"/>
        </w:rPr>
      </w:pPr>
      <w:r w:rsidRPr="00E61503">
        <w:rPr>
          <w:rFonts w:cs="Segoe UI"/>
          <w:b/>
          <w:sz w:val="24"/>
          <w:szCs w:val="24"/>
          <w:lang w:val="es-CO"/>
        </w:rPr>
        <w:t>PROYECTO DE LEY</w:t>
      </w:r>
      <w:r w:rsidR="005005F3">
        <w:rPr>
          <w:rFonts w:cs="Segoe UI"/>
          <w:b/>
          <w:sz w:val="24"/>
          <w:szCs w:val="24"/>
          <w:lang w:val="es-CO"/>
        </w:rPr>
        <w:t xml:space="preserve"> </w:t>
      </w:r>
      <w:r w:rsidR="00D00CDD">
        <w:rPr>
          <w:rFonts w:cs="Segoe UI"/>
          <w:b/>
          <w:sz w:val="24"/>
          <w:szCs w:val="24"/>
          <w:lang w:val="es-CO"/>
        </w:rPr>
        <w:t xml:space="preserve">_____ </w:t>
      </w:r>
      <w:r w:rsidRPr="00E61503">
        <w:rPr>
          <w:rFonts w:cs="Segoe UI"/>
          <w:b/>
          <w:sz w:val="24"/>
          <w:szCs w:val="24"/>
          <w:lang w:val="es-CO"/>
        </w:rPr>
        <w:t xml:space="preserve">DE 2018 </w:t>
      </w:r>
      <w:r w:rsidRPr="00E61503">
        <w:rPr>
          <w:rFonts w:cs="Segoe UI"/>
          <w:b/>
          <w:sz w:val="24"/>
          <w:szCs w:val="24"/>
          <w:lang w:val="es-CO"/>
        </w:rPr>
        <w:br/>
        <w:t>“</w:t>
      </w:r>
      <w:r w:rsidR="00D00CDD" w:rsidRPr="00D00CDD">
        <w:rPr>
          <w:rFonts w:cs="Segoe UI"/>
          <w:b/>
          <w:sz w:val="24"/>
          <w:szCs w:val="24"/>
          <w:lang w:val="es-CO"/>
        </w:rPr>
        <w:t>Por medio de la cual se extiende la vigencia para la emisión de la Estampilla Pro Desarrollo Académico y Descentralización de Servicios Educativos de la Universidad de Córdoba, creada mediante la Ley 382 de 1997 y se dictan otras disposiciones”</w:t>
      </w:r>
    </w:p>
    <w:p w14:paraId="711F683D" w14:textId="5CEEE2EC" w:rsidR="00E61503" w:rsidRPr="00E61503" w:rsidRDefault="00E61503" w:rsidP="00D42684">
      <w:pPr>
        <w:spacing w:before="0" w:after="0" w:line="276" w:lineRule="auto"/>
        <w:jc w:val="both"/>
        <w:rPr>
          <w:rFonts w:cs="Segoe UI"/>
          <w:sz w:val="24"/>
          <w:szCs w:val="24"/>
          <w:lang w:val="es-CO"/>
        </w:rPr>
      </w:pPr>
    </w:p>
    <w:p w14:paraId="53844DD3" w14:textId="6E008348" w:rsidR="00E61503" w:rsidRPr="00E61503" w:rsidRDefault="00E61503" w:rsidP="00C432B7">
      <w:pPr>
        <w:spacing w:before="0" w:after="0" w:line="276" w:lineRule="auto"/>
        <w:jc w:val="center"/>
        <w:rPr>
          <w:rFonts w:cs="Segoe UI"/>
          <w:sz w:val="24"/>
          <w:szCs w:val="24"/>
          <w:lang w:val="es-CO"/>
        </w:rPr>
      </w:pPr>
      <w:r w:rsidRPr="00E61503">
        <w:rPr>
          <w:rFonts w:cs="Segoe UI"/>
          <w:sz w:val="24"/>
          <w:szCs w:val="24"/>
          <w:lang w:val="es-CO"/>
        </w:rPr>
        <w:t>El Congreso de Colombia</w:t>
      </w:r>
      <w:r w:rsidR="00C432B7">
        <w:rPr>
          <w:rFonts w:cs="Segoe UI"/>
          <w:sz w:val="24"/>
          <w:szCs w:val="24"/>
          <w:lang w:val="es-CO"/>
        </w:rPr>
        <w:t>,</w:t>
      </w:r>
    </w:p>
    <w:p w14:paraId="5F524FBC" w14:textId="0736D66E" w:rsidR="00E61503" w:rsidRPr="00E61503" w:rsidRDefault="00E61503" w:rsidP="00C432B7">
      <w:pPr>
        <w:spacing w:before="0" w:after="0" w:line="276" w:lineRule="auto"/>
        <w:jc w:val="center"/>
        <w:rPr>
          <w:rFonts w:cs="Segoe UI"/>
          <w:sz w:val="24"/>
          <w:szCs w:val="24"/>
          <w:lang w:val="es-CO"/>
        </w:rPr>
      </w:pPr>
      <w:r w:rsidRPr="00E61503">
        <w:rPr>
          <w:rFonts w:cs="Segoe UI"/>
          <w:sz w:val="24"/>
          <w:szCs w:val="24"/>
          <w:lang w:val="es-CO"/>
        </w:rPr>
        <w:t>DECRETA</w:t>
      </w:r>
    </w:p>
    <w:p w14:paraId="5DCCDF59" w14:textId="17A14BAD" w:rsidR="00E61503" w:rsidRPr="00E61503" w:rsidRDefault="00E61503" w:rsidP="00D42684">
      <w:pPr>
        <w:spacing w:before="0" w:after="0" w:line="276" w:lineRule="auto"/>
        <w:jc w:val="both"/>
        <w:rPr>
          <w:rFonts w:cs="Segoe UI"/>
          <w:sz w:val="24"/>
          <w:szCs w:val="24"/>
          <w:lang w:val="es-CO"/>
        </w:rPr>
      </w:pPr>
    </w:p>
    <w:p w14:paraId="21E0E65E" w14:textId="77777777" w:rsidR="00E61503" w:rsidRPr="00E61503" w:rsidRDefault="00E61503" w:rsidP="00D42684">
      <w:pPr>
        <w:spacing w:before="0" w:after="0" w:line="276" w:lineRule="auto"/>
        <w:jc w:val="both"/>
        <w:rPr>
          <w:rFonts w:cs="Segoe UI"/>
          <w:sz w:val="24"/>
          <w:szCs w:val="24"/>
          <w:lang w:val="es-CO"/>
        </w:rPr>
      </w:pPr>
    </w:p>
    <w:p w14:paraId="2FC78FFD" w14:textId="76D8ACD4" w:rsidR="002612DB" w:rsidRDefault="00E61503" w:rsidP="00D42684">
      <w:pPr>
        <w:spacing w:before="0" w:after="0" w:line="276" w:lineRule="auto"/>
        <w:jc w:val="both"/>
        <w:rPr>
          <w:rFonts w:cs="Segoe UI"/>
          <w:sz w:val="24"/>
          <w:szCs w:val="24"/>
          <w:lang w:val="es-CO"/>
        </w:rPr>
      </w:pPr>
      <w:r w:rsidRPr="00E61503">
        <w:rPr>
          <w:rFonts w:cs="Segoe UI"/>
          <w:b/>
          <w:sz w:val="24"/>
          <w:szCs w:val="24"/>
          <w:lang w:val="es-CO"/>
        </w:rPr>
        <w:t>Artículo 1°.</w:t>
      </w:r>
      <w:r w:rsidRPr="00E61503">
        <w:rPr>
          <w:rFonts w:cs="Segoe UI"/>
          <w:sz w:val="24"/>
          <w:szCs w:val="24"/>
          <w:lang w:val="es-CO"/>
        </w:rPr>
        <w:t xml:space="preserve"> </w:t>
      </w:r>
      <w:r w:rsidR="00D00CDD" w:rsidRPr="00D00CDD">
        <w:rPr>
          <w:rFonts w:cs="Segoe UI"/>
          <w:sz w:val="24"/>
          <w:szCs w:val="24"/>
          <w:lang w:val="es-CO"/>
        </w:rPr>
        <w:t xml:space="preserve">Objeto. La presente ley pretende </w:t>
      </w:r>
      <w:r w:rsidR="005C2038">
        <w:rPr>
          <w:rFonts w:cs="Segoe UI"/>
          <w:sz w:val="24"/>
          <w:szCs w:val="24"/>
          <w:lang w:val="es-CO"/>
        </w:rPr>
        <w:t xml:space="preserve">renovar </w:t>
      </w:r>
      <w:r w:rsidR="00D00CDD" w:rsidRPr="00D00CDD">
        <w:rPr>
          <w:rFonts w:cs="Segoe UI"/>
          <w:sz w:val="24"/>
          <w:szCs w:val="24"/>
          <w:lang w:val="es-CO"/>
        </w:rPr>
        <w:t xml:space="preserve">la estampilla “Pro-Desarrollo Académico y Descentralización de Servicios Educativos de la Universidad de Córdoba”, </w:t>
      </w:r>
      <w:r w:rsidR="00D00CDD">
        <w:rPr>
          <w:rFonts w:cs="Segoe UI"/>
          <w:sz w:val="24"/>
          <w:szCs w:val="24"/>
          <w:lang w:val="es-CO"/>
        </w:rPr>
        <w:t>creada mediante Ley 382 de 1997.</w:t>
      </w:r>
      <w:r w:rsidRPr="00E61503">
        <w:rPr>
          <w:rFonts w:cs="Segoe UI"/>
          <w:sz w:val="24"/>
          <w:szCs w:val="24"/>
          <w:lang w:val="es-CO"/>
        </w:rPr>
        <w:t xml:space="preserve"> </w:t>
      </w:r>
    </w:p>
    <w:p w14:paraId="0E4A7B60" w14:textId="77777777" w:rsidR="002612DB" w:rsidRDefault="002612DB" w:rsidP="00D42684">
      <w:pPr>
        <w:spacing w:before="0" w:after="0" w:line="276" w:lineRule="auto"/>
        <w:jc w:val="both"/>
        <w:rPr>
          <w:rFonts w:cs="Segoe UI"/>
          <w:sz w:val="24"/>
          <w:szCs w:val="24"/>
          <w:lang w:val="es-CO"/>
        </w:rPr>
      </w:pPr>
    </w:p>
    <w:p w14:paraId="217BB3EE" w14:textId="15EBB34E" w:rsidR="00E61503" w:rsidRPr="00E61503" w:rsidRDefault="00E61503" w:rsidP="00D42684">
      <w:pPr>
        <w:spacing w:before="0" w:after="0" w:line="276" w:lineRule="auto"/>
        <w:jc w:val="both"/>
        <w:rPr>
          <w:rFonts w:cs="Segoe UI"/>
          <w:sz w:val="24"/>
          <w:szCs w:val="24"/>
          <w:lang w:val="es-CO"/>
        </w:rPr>
      </w:pPr>
      <w:r w:rsidRPr="00E61503">
        <w:rPr>
          <w:rFonts w:cs="Segoe UI"/>
          <w:sz w:val="24"/>
          <w:szCs w:val="24"/>
          <w:lang w:val="es-CO"/>
        </w:rPr>
        <w:t>Autorícese a la Asamblea del Departamento de Córdoba para que ordene la emisión de la estampilla en los términos de la Ley 382 de 1997.</w:t>
      </w:r>
    </w:p>
    <w:p w14:paraId="21B28143" w14:textId="77777777" w:rsidR="00E61503" w:rsidRPr="00E61503" w:rsidRDefault="00E61503" w:rsidP="00D42684">
      <w:pPr>
        <w:spacing w:before="0" w:after="0" w:line="276" w:lineRule="auto"/>
        <w:jc w:val="both"/>
        <w:rPr>
          <w:rFonts w:cs="Segoe UI"/>
          <w:sz w:val="24"/>
          <w:szCs w:val="24"/>
          <w:lang w:val="es-CO"/>
        </w:rPr>
      </w:pPr>
    </w:p>
    <w:p w14:paraId="2E0320EF" w14:textId="5D9BBF06" w:rsidR="00E61503" w:rsidRDefault="00E61503" w:rsidP="00D42684">
      <w:pPr>
        <w:spacing w:before="0" w:after="0" w:line="276" w:lineRule="auto"/>
        <w:jc w:val="both"/>
        <w:rPr>
          <w:rFonts w:cs="Segoe UI"/>
          <w:sz w:val="24"/>
          <w:szCs w:val="24"/>
          <w:lang w:val="es-CO"/>
        </w:rPr>
      </w:pPr>
      <w:r w:rsidRPr="00E61503">
        <w:rPr>
          <w:rFonts w:cs="Segoe UI"/>
          <w:b/>
          <w:sz w:val="24"/>
          <w:szCs w:val="24"/>
          <w:lang w:val="es-CO"/>
        </w:rPr>
        <w:t>Artículo 2°.</w:t>
      </w:r>
      <w:r w:rsidRPr="00E61503">
        <w:rPr>
          <w:rFonts w:cs="Segoe UI"/>
          <w:sz w:val="24"/>
          <w:szCs w:val="24"/>
          <w:lang w:val="es-CO"/>
        </w:rPr>
        <w:t xml:space="preserve"> </w:t>
      </w:r>
      <w:r w:rsidR="001D7A6A">
        <w:rPr>
          <w:rFonts w:cs="Segoe UI"/>
          <w:b/>
          <w:sz w:val="24"/>
          <w:szCs w:val="24"/>
          <w:lang w:val="es-CO"/>
        </w:rPr>
        <w:t xml:space="preserve">Cuantía de la Emisión. </w:t>
      </w:r>
      <w:r w:rsidRPr="00E61503">
        <w:rPr>
          <w:rFonts w:cs="Segoe UI"/>
          <w:sz w:val="24"/>
          <w:szCs w:val="24"/>
          <w:lang w:val="es-CO"/>
        </w:rPr>
        <w:t>La estampilla “</w:t>
      </w:r>
      <w:r w:rsidR="00DE2C39" w:rsidRPr="00E61503">
        <w:rPr>
          <w:rFonts w:cs="Segoe UI"/>
          <w:sz w:val="24"/>
          <w:szCs w:val="24"/>
          <w:lang w:val="es-CO"/>
        </w:rPr>
        <w:t>Pro-Desarrollo</w:t>
      </w:r>
      <w:r w:rsidRPr="00E61503">
        <w:rPr>
          <w:rFonts w:cs="Segoe UI"/>
          <w:sz w:val="24"/>
          <w:szCs w:val="24"/>
          <w:lang w:val="es-CO"/>
        </w:rPr>
        <w:t xml:space="preserve"> Académico y Descentralización de Servicios Educativos de la Universidad de Córdoba”, cuya renovación y vigencia se autoriza y se extiende conforme a lo contemplado en el artículo 1° de la presente ley, será hasta por la suma adicional de </w:t>
      </w:r>
      <w:r w:rsidR="001D7A6A">
        <w:rPr>
          <w:rFonts w:cs="Segoe UI"/>
          <w:sz w:val="24"/>
          <w:szCs w:val="24"/>
          <w:lang w:val="es-CO"/>
        </w:rPr>
        <w:t>cincuenta</w:t>
      </w:r>
      <w:r w:rsidRPr="00E61503">
        <w:rPr>
          <w:rFonts w:cs="Segoe UI"/>
          <w:sz w:val="24"/>
          <w:szCs w:val="24"/>
          <w:lang w:val="es-CO"/>
        </w:rPr>
        <w:t xml:space="preserve"> mil millones de pesos (50.000.000.000)</w:t>
      </w:r>
      <w:r w:rsidR="001D7A6A">
        <w:rPr>
          <w:rFonts w:cs="Segoe UI"/>
          <w:sz w:val="24"/>
          <w:szCs w:val="24"/>
          <w:lang w:val="es-CO"/>
        </w:rPr>
        <w:t xml:space="preserve">. El monto total recaudado se establece a precios </w:t>
      </w:r>
      <w:r w:rsidR="00971F89">
        <w:rPr>
          <w:rFonts w:cs="Segoe UI"/>
          <w:sz w:val="24"/>
          <w:szCs w:val="24"/>
          <w:lang w:val="es-CO"/>
        </w:rPr>
        <w:t xml:space="preserve">constantes </w:t>
      </w:r>
      <w:r w:rsidR="001D7A6A">
        <w:rPr>
          <w:rFonts w:cs="Segoe UI"/>
          <w:sz w:val="24"/>
          <w:szCs w:val="24"/>
          <w:lang w:val="es-CO"/>
        </w:rPr>
        <w:t xml:space="preserve">al momento de la entrada en vigencia de la presente ley. </w:t>
      </w:r>
    </w:p>
    <w:p w14:paraId="0AFE6CAC" w14:textId="77777777" w:rsidR="00D00CDD" w:rsidRPr="00E61503" w:rsidRDefault="00D00CDD" w:rsidP="00D42684">
      <w:pPr>
        <w:spacing w:before="0" w:after="0" w:line="276" w:lineRule="auto"/>
        <w:jc w:val="both"/>
        <w:rPr>
          <w:rFonts w:cs="Segoe UI"/>
          <w:sz w:val="24"/>
          <w:szCs w:val="24"/>
          <w:lang w:val="es-CO"/>
        </w:rPr>
      </w:pPr>
    </w:p>
    <w:p w14:paraId="4913481E" w14:textId="716B299D" w:rsidR="00E61503" w:rsidRDefault="00D00CDD" w:rsidP="00D42684">
      <w:pPr>
        <w:spacing w:before="0" w:after="0" w:line="276" w:lineRule="auto"/>
        <w:jc w:val="both"/>
        <w:rPr>
          <w:rFonts w:cs="Segoe UI"/>
          <w:sz w:val="24"/>
          <w:szCs w:val="24"/>
          <w:lang w:val="es-CO"/>
        </w:rPr>
      </w:pPr>
      <w:r w:rsidRPr="00D00CDD">
        <w:rPr>
          <w:rFonts w:cs="Segoe UI"/>
          <w:sz w:val="24"/>
          <w:szCs w:val="24"/>
          <w:lang w:val="es-CO"/>
        </w:rPr>
        <w:t>Parágrafo 1°. La autorización de que trata este artículo se hará de manera automática, una vez se haya alcanzado el tope del recaudo que autorizó la Ley 382 de 1997.</w:t>
      </w:r>
    </w:p>
    <w:p w14:paraId="228C264D" w14:textId="77777777" w:rsidR="00D00CDD" w:rsidRPr="00E61503" w:rsidRDefault="00D00CDD" w:rsidP="00D42684">
      <w:pPr>
        <w:spacing w:before="0" w:after="0" w:line="276" w:lineRule="auto"/>
        <w:jc w:val="both"/>
        <w:rPr>
          <w:rFonts w:cs="Segoe UI"/>
          <w:sz w:val="24"/>
          <w:szCs w:val="24"/>
          <w:lang w:val="es-CO"/>
        </w:rPr>
      </w:pPr>
    </w:p>
    <w:p w14:paraId="3320637B" w14:textId="77777777" w:rsidR="005C2038" w:rsidRDefault="00E61503" w:rsidP="00D42684">
      <w:pPr>
        <w:spacing w:before="0" w:after="0" w:line="276" w:lineRule="auto"/>
        <w:jc w:val="both"/>
        <w:rPr>
          <w:rFonts w:cs="Segoe UI"/>
          <w:sz w:val="24"/>
          <w:szCs w:val="24"/>
          <w:lang w:val="es-CO"/>
        </w:rPr>
      </w:pPr>
      <w:r w:rsidRPr="00E61503">
        <w:rPr>
          <w:rFonts w:cs="Segoe UI"/>
          <w:b/>
          <w:sz w:val="24"/>
          <w:szCs w:val="24"/>
          <w:lang w:val="es-CO"/>
        </w:rPr>
        <w:t>Artículo 3°.</w:t>
      </w:r>
      <w:r w:rsidRPr="00E61503">
        <w:rPr>
          <w:rFonts w:cs="Segoe UI"/>
          <w:sz w:val="24"/>
          <w:szCs w:val="24"/>
          <w:lang w:val="es-CO"/>
        </w:rPr>
        <w:t xml:space="preserve"> </w:t>
      </w:r>
      <w:r w:rsidR="001D7A6A">
        <w:rPr>
          <w:rFonts w:cs="Segoe UI"/>
          <w:b/>
          <w:sz w:val="24"/>
          <w:szCs w:val="24"/>
          <w:lang w:val="es-CO"/>
        </w:rPr>
        <w:t xml:space="preserve">Autorización a la Asamblea Departamental de Córdoba. </w:t>
      </w:r>
      <w:r w:rsidRPr="00E61503">
        <w:rPr>
          <w:rFonts w:cs="Segoe UI"/>
          <w:sz w:val="24"/>
          <w:szCs w:val="24"/>
          <w:lang w:val="es-CO"/>
        </w:rPr>
        <w:t xml:space="preserve">Autorícese a la Asamblea Departamental de Córdoba para que determine </w:t>
      </w:r>
      <w:r w:rsidR="00D520E9">
        <w:rPr>
          <w:rFonts w:cs="Segoe UI"/>
          <w:sz w:val="24"/>
          <w:szCs w:val="24"/>
          <w:lang w:val="es-CO"/>
        </w:rPr>
        <w:t>l</w:t>
      </w:r>
      <w:r w:rsidR="00D520E9" w:rsidRPr="00D520E9">
        <w:rPr>
          <w:rFonts w:cs="Segoe UI"/>
          <w:sz w:val="24"/>
          <w:szCs w:val="24"/>
          <w:lang w:val="es-CO"/>
        </w:rPr>
        <w:t>os elementos estructurales del tributo: s</w:t>
      </w:r>
      <w:r w:rsidR="00D520E9">
        <w:rPr>
          <w:rFonts w:cs="Segoe UI"/>
          <w:sz w:val="24"/>
          <w:szCs w:val="24"/>
          <w:lang w:val="es-CO"/>
        </w:rPr>
        <w:t xml:space="preserve">ujetos, base gravable, tarifas, </w:t>
      </w:r>
      <w:r w:rsidR="00D520E9" w:rsidRPr="00D520E9">
        <w:rPr>
          <w:rFonts w:cs="Segoe UI"/>
          <w:sz w:val="24"/>
          <w:szCs w:val="24"/>
          <w:lang w:val="es-CO"/>
        </w:rPr>
        <w:t>hechos generadores</w:t>
      </w:r>
      <w:r w:rsidRPr="00E61503">
        <w:rPr>
          <w:rFonts w:cs="Segoe UI"/>
          <w:sz w:val="24"/>
          <w:szCs w:val="24"/>
          <w:lang w:val="es-CO"/>
        </w:rPr>
        <w:t xml:space="preserve">, </w:t>
      </w:r>
      <w:r w:rsidR="001D7A6A">
        <w:rPr>
          <w:rFonts w:cs="Segoe UI"/>
          <w:sz w:val="24"/>
          <w:szCs w:val="24"/>
          <w:lang w:val="es-CO"/>
        </w:rPr>
        <w:t>y</w:t>
      </w:r>
      <w:r w:rsidRPr="00E61503">
        <w:rPr>
          <w:rFonts w:cs="Segoe UI"/>
          <w:sz w:val="24"/>
          <w:szCs w:val="24"/>
          <w:lang w:val="es-CO"/>
        </w:rPr>
        <w:t xml:space="preserve"> todos los asuntos referentes al uso ob</w:t>
      </w:r>
      <w:r w:rsidR="005C2038">
        <w:rPr>
          <w:rFonts w:cs="Segoe UI"/>
          <w:sz w:val="24"/>
          <w:szCs w:val="24"/>
          <w:lang w:val="es-CO"/>
        </w:rPr>
        <w:t>ligatorio de la estampilla en lo</w:t>
      </w:r>
      <w:r w:rsidRPr="00E61503">
        <w:rPr>
          <w:rFonts w:cs="Segoe UI"/>
          <w:sz w:val="24"/>
          <w:szCs w:val="24"/>
          <w:lang w:val="es-CO"/>
        </w:rPr>
        <w:t xml:space="preserve">s </w:t>
      </w:r>
      <w:r w:rsidR="005C2038">
        <w:rPr>
          <w:rFonts w:cs="Segoe UI"/>
          <w:sz w:val="24"/>
          <w:szCs w:val="24"/>
          <w:lang w:val="es-CO"/>
        </w:rPr>
        <w:t xml:space="preserve">actos, contratos y negocios jurídicos </w:t>
      </w:r>
      <w:r w:rsidRPr="00E61503">
        <w:rPr>
          <w:rFonts w:cs="Segoe UI"/>
          <w:sz w:val="24"/>
          <w:szCs w:val="24"/>
          <w:lang w:val="es-CO"/>
        </w:rPr>
        <w:t>que deba realizar el departamento y sus municipios.</w:t>
      </w:r>
      <w:r w:rsidR="001D7A6A">
        <w:rPr>
          <w:rFonts w:cs="Segoe UI"/>
          <w:sz w:val="24"/>
          <w:szCs w:val="24"/>
          <w:lang w:val="es-CO"/>
        </w:rPr>
        <w:t xml:space="preserve"> </w:t>
      </w:r>
    </w:p>
    <w:p w14:paraId="03C271D5" w14:textId="1ED4CD8E" w:rsidR="00E61503" w:rsidRPr="00E61503" w:rsidRDefault="005C2038" w:rsidP="00D42684">
      <w:pPr>
        <w:spacing w:before="0" w:after="0" w:line="276" w:lineRule="auto"/>
        <w:jc w:val="both"/>
        <w:rPr>
          <w:rFonts w:cs="Segoe UI"/>
          <w:sz w:val="24"/>
          <w:szCs w:val="24"/>
          <w:lang w:val="es-CO"/>
        </w:rPr>
      </w:pPr>
      <w:r w:rsidRPr="005C2038">
        <w:rPr>
          <w:rFonts w:cs="Segoe UI"/>
          <w:b/>
          <w:sz w:val="24"/>
          <w:szCs w:val="24"/>
          <w:lang w:val="es-CO"/>
        </w:rPr>
        <w:t>Parágrafo</w:t>
      </w:r>
      <w:r>
        <w:rPr>
          <w:rFonts w:cs="Segoe UI"/>
          <w:sz w:val="24"/>
          <w:szCs w:val="24"/>
          <w:lang w:val="es-CO"/>
        </w:rPr>
        <w:t xml:space="preserve">. </w:t>
      </w:r>
      <w:r w:rsidR="001D7A6A" w:rsidRPr="001D7A6A">
        <w:rPr>
          <w:rFonts w:cs="Segoe UI"/>
          <w:sz w:val="24"/>
          <w:szCs w:val="24"/>
          <w:lang w:val="es-CO"/>
        </w:rPr>
        <w:t xml:space="preserve">La ordenanza que expida la Asamblea de </w:t>
      </w:r>
      <w:r w:rsidR="001D7A6A">
        <w:rPr>
          <w:rFonts w:cs="Segoe UI"/>
          <w:sz w:val="24"/>
          <w:szCs w:val="24"/>
          <w:lang w:val="es-CO"/>
        </w:rPr>
        <w:t>Córdoba</w:t>
      </w:r>
      <w:r w:rsidR="001D7A6A" w:rsidRPr="001D7A6A">
        <w:rPr>
          <w:rFonts w:cs="Segoe UI"/>
          <w:sz w:val="24"/>
          <w:szCs w:val="24"/>
          <w:lang w:val="es-CO"/>
        </w:rPr>
        <w:t xml:space="preserve">, en desarrollo de lo dispuesto en la presente ley, se dará a conocer al Gobierno </w:t>
      </w:r>
      <w:r w:rsidR="00543A97">
        <w:rPr>
          <w:rFonts w:cs="Segoe UI"/>
          <w:sz w:val="24"/>
          <w:szCs w:val="24"/>
          <w:lang w:val="es-CO"/>
        </w:rPr>
        <w:t>N</w:t>
      </w:r>
      <w:r w:rsidR="001D7A6A" w:rsidRPr="001D7A6A">
        <w:rPr>
          <w:rFonts w:cs="Segoe UI"/>
          <w:sz w:val="24"/>
          <w:szCs w:val="24"/>
          <w:lang w:val="es-CO"/>
        </w:rPr>
        <w:t>acional a través de los Ministerios de Educación Nacional, Hacienda y Crédito Público, y de Tecnologías de la Información y las Comunicaciones.</w:t>
      </w:r>
    </w:p>
    <w:p w14:paraId="55959E11" w14:textId="77777777" w:rsidR="00E61503" w:rsidRPr="00E61503" w:rsidRDefault="00E61503" w:rsidP="00D42684">
      <w:pPr>
        <w:spacing w:before="0" w:after="0" w:line="276" w:lineRule="auto"/>
        <w:jc w:val="both"/>
        <w:rPr>
          <w:rFonts w:cs="Segoe UI"/>
          <w:sz w:val="24"/>
          <w:szCs w:val="24"/>
          <w:lang w:val="es-CO"/>
        </w:rPr>
      </w:pPr>
    </w:p>
    <w:p w14:paraId="67DDDA06" w14:textId="6A72E6AA" w:rsidR="00E61503" w:rsidRPr="00E61503" w:rsidRDefault="00E61503" w:rsidP="00D42684">
      <w:pPr>
        <w:spacing w:before="0" w:after="0" w:line="276" w:lineRule="auto"/>
        <w:jc w:val="both"/>
        <w:rPr>
          <w:rFonts w:cs="Segoe UI"/>
          <w:sz w:val="24"/>
          <w:szCs w:val="24"/>
          <w:lang w:val="es-CO"/>
        </w:rPr>
      </w:pPr>
      <w:r w:rsidRPr="00E61503">
        <w:rPr>
          <w:rFonts w:cs="Segoe UI"/>
          <w:b/>
          <w:sz w:val="24"/>
          <w:szCs w:val="24"/>
          <w:lang w:val="es-CO"/>
        </w:rPr>
        <w:t>Artículo 4°.</w:t>
      </w:r>
      <w:r w:rsidR="00543A97">
        <w:rPr>
          <w:rFonts w:cs="Segoe UI"/>
          <w:b/>
          <w:sz w:val="24"/>
          <w:szCs w:val="24"/>
          <w:lang w:val="es-CO"/>
        </w:rPr>
        <w:t xml:space="preserve"> Facultad a los Concejos Municipales.</w:t>
      </w:r>
      <w:r w:rsidR="005005F3">
        <w:rPr>
          <w:rFonts w:cs="Segoe UI"/>
          <w:b/>
          <w:sz w:val="24"/>
          <w:szCs w:val="24"/>
          <w:lang w:val="es-CO"/>
        </w:rPr>
        <w:t xml:space="preserve"> </w:t>
      </w:r>
      <w:r w:rsidRPr="00E61503">
        <w:rPr>
          <w:rFonts w:cs="Segoe UI"/>
          <w:sz w:val="24"/>
          <w:szCs w:val="24"/>
          <w:lang w:val="es-CO"/>
        </w:rPr>
        <w:t>Facúltese a los Concejos Municipales del Departamento de Córdoba para que previa autorización de la Asamblea Departamental, hagan obligatorio el uso de la estampil</w:t>
      </w:r>
      <w:r w:rsidR="007543D9">
        <w:rPr>
          <w:rFonts w:cs="Segoe UI"/>
          <w:sz w:val="24"/>
          <w:szCs w:val="24"/>
          <w:lang w:val="es-CO"/>
        </w:rPr>
        <w:t>la que autoriza la presente ley.</w:t>
      </w:r>
      <w:r w:rsidR="00D32E16">
        <w:rPr>
          <w:rFonts w:cs="Segoe UI"/>
          <w:sz w:val="24"/>
          <w:szCs w:val="24"/>
          <w:lang w:val="es-CO"/>
        </w:rPr>
        <w:t xml:space="preserve"> </w:t>
      </w:r>
    </w:p>
    <w:p w14:paraId="64EFED98" w14:textId="77777777" w:rsidR="00E61503" w:rsidRPr="00E61503" w:rsidRDefault="00E61503" w:rsidP="00D42684">
      <w:pPr>
        <w:spacing w:before="0" w:after="0" w:line="276" w:lineRule="auto"/>
        <w:jc w:val="both"/>
        <w:rPr>
          <w:rFonts w:cs="Segoe UI"/>
          <w:sz w:val="24"/>
          <w:szCs w:val="24"/>
          <w:lang w:val="es-CO"/>
        </w:rPr>
      </w:pPr>
    </w:p>
    <w:p w14:paraId="78F28414" w14:textId="744B6433" w:rsidR="00E61503" w:rsidRDefault="00E61503" w:rsidP="00D42684">
      <w:pPr>
        <w:spacing w:before="0" w:after="0" w:line="276" w:lineRule="auto"/>
        <w:jc w:val="both"/>
        <w:rPr>
          <w:rFonts w:cs="Segoe UI"/>
          <w:sz w:val="24"/>
          <w:szCs w:val="24"/>
          <w:lang w:val="es-CO"/>
        </w:rPr>
      </w:pPr>
      <w:r w:rsidRPr="00E61503">
        <w:rPr>
          <w:rFonts w:cs="Segoe UI"/>
          <w:b/>
          <w:sz w:val="24"/>
          <w:szCs w:val="24"/>
          <w:lang w:val="es-CO"/>
        </w:rPr>
        <w:t>Artículo</w:t>
      </w:r>
      <w:r w:rsidR="00B210EC">
        <w:rPr>
          <w:rFonts w:cs="Segoe UI"/>
          <w:b/>
          <w:sz w:val="24"/>
          <w:szCs w:val="24"/>
          <w:lang w:val="es-CO"/>
        </w:rPr>
        <w:t xml:space="preserve"> </w:t>
      </w:r>
      <w:r w:rsidR="00543A97">
        <w:rPr>
          <w:rFonts w:cs="Segoe UI"/>
          <w:b/>
          <w:sz w:val="24"/>
          <w:szCs w:val="24"/>
          <w:lang w:val="es-CO"/>
        </w:rPr>
        <w:t>5</w:t>
      </w:r>
      <w:r w:rsidRPr="00E61503">
        <w:rPr>
          <w:rFonts w:cs="Segoe UI"/>
          <w:b/>
          <w:sz w:val="24"/>
          <w:szCs w:val="24"/>
          <w:lang w:val="es-CO"/>
        </w:rPr>
        <w:t>.</w:t>
      </w:r>
      <w:r w:rsidR="00543A97">
        <w:rPr>
          <w:rFonts w:cs="Segoe UI"/>
          <w:b/>
          <w:sz w:val="24"/>
          <w:szCs w:val="24"/>
          <w:lang w:val="es-CO"/>
        </w:rPr>
        <w:t xml:space="preserve"> Autorización para recaudar los valores de los que trata la presente Ley.</w:t>
      </w:r>
      <w:r w:rsidR="005005F3">
        <w:rPr>
          <w:rFonts w:cs="Segoe UI"/>
          <w:b/>
          <w:sz w:val="24"/>
          <w:szCs w:val="24"/>
          <w:lang w:val="es-CO"/>
        </w:rPr>
        <w:t xml:space="preserve"> </w:t>
      </w:r>
      <w:r w:rsidRPr="00E61503">
        <w:rPr>
          <w:rFonts w:cs="Segoe UI"/>
          <w:sz w:val="24"/>
          <w:szCs w:val="24"/>
          <w:lang w:val="es-CO"/>
        </w:rPr>
        <w:t xml:space="preserve">Autorícese al Departamento de Córdoba con el fin de que este sea quien recaude los valores producidos por el uso de la estampilla </w:t>
      </w:r>
      <w:r w:rsidR="009F4C40">
        <w:rPr>
          <w:rFonts w:cs="Segoe UI"/>
          <w:sz w:val="24"/>
          <w:szCs w:val="24"/>
          <w:lang w:val="es-CO"/>
        </w:rPr>
        <w:t>“</w:t>
      </w:r>
      <w:r w:rsidR="00DE2C39" w:rsidRPr="00E61503">
        <w:rPr>
          <w:rFonts w:cs="Segoe UI"/>
          <w:sz w:val="24"/>
          <w:szCs w:val="24"/>
          <w:lang w:val="es-CO"/>
        </w:rPr>
        <w:t>Pro-Desarrollo</w:t>
      </w:r>
      <w:r w:rsidRPr="00E61503">
        <w:rPr>
          <w:rFonts w:cs="Segoe UI"/>
          <w:sz w:val="24"/>
          <w:szCs w:val="24"/>
          <w:lang w:val="es-CO"/>
        </w:rPr>
        <w:t xml:space="preserve"> Académico y Descentralización de Servicios Educativos de la Universidad de Córdoba</w:t>
      </w:r>
      <w:r w:rsidR="009F4C40">
        <w:rPr>
          <w:rFonts w:cs="Segoe UI"/>
          <w:sz w:val="24"/>
          <w:szCs w:val="24"/>
          <w:lang w:val="es-CO"/>
        </w:rPr>
        <w:t>”</w:t>
      </w:r>
      <w:r w:rsidRPr="00E61503">
        <w:rPr>
          <w:rFonts w:cs="Segoe UI"/>
          <w:sz w:val="24"/>
          <w:szCs w:val="24"/>
          <w:lang w:val="es-CO"/>
        </w:rPr>
        <w:t xml:space="preserve">, </w:t>
      </w:r>
      <w:r w:rsidR="00543A97" w:rsidRPr="00543A97">
        <w:rPr>
          <w:rFonts w:cs="Segoe UI"/>
          <w:sz w:val="24"/>
          <w:szCs w:val="24"/>
          <w:lang w:val="es-CO"/>
        </w:rPr>
        <w:t>en las actividades que se deban realizar en el departamento y en sus municipios.</w:t>
      </w:r>
    </w:p>
    <w:p w14:paraId="6CF9CF6E" w14:textId="77777777" w:rsidR="00543A97" w:rsidRPr="00E61503" w:rsidRDefault="00543A97" w:rsidP="00D42684">
      <w:pPr>
        <w:spacing w:before="0" w:after="0" w:line="276" w:lineRule="auto"/>
        <w:jc w:val="both"/>
        <w:rPr>
          <w:rFonts w:cs="Segoe UI"/>
          <w:sz w:val="24"/>
          <w:szCs w:val="24"/>
          <w:lang w:val="es-CO"/>
        </w:rPr>
      </w:pPr>
    </w:p>
    <w:p w14:paraId="0AC1FB6A" w14:textId="58756487" w:rsidR="00E61503" w:rsidRPr="00E61503" w:rsidRDefault="00E61503" w:rsidP="00D42684">
      <w:pPr>
        <w:spacing w:before="0" w:after="0" w:line="276" w:lineRule="auto"/>
        <w:jc w:val="both"/>
        <w:rPr>
          <w:rFonts w:cs="Segoe UI"/>
          <w:sz w:val="24"/>
          <w:szCs w:val="24"/>
          <w:lang w:val="es-CO"/>
        </w:rPr>
      </w:pPr>
      <w:r w:rsidRPr="00E61503">
        <w:rPr>
          <w:rFonts w:cs="Segoe UI"/>
          <w:b/>
          <w:sz w:val="24"/>
          <w:szCs w:val="24"/>
          <w:lang w:val="es-CO"/>
        </w:rPr>
        <w:t xml:space="preserve">Artículo </w:t>
      </w:r>
      <w:r w:rsidR="00543A97">
        <w:rPr>
          <w:rFonts w:cs="Segoe UI"/>
          <w:b/>
          <w:sz w:val="24"/>
          <w:szCs w:val="24"/>
          <w:lang w:val="es-CO"/>
        </w:rPr>
        <w:t>6</w:t>
      </w:r>
      <w:r w:rsidRPr="00E61503">
        <w:rPr>
          <w:rFonts w:cs="Segoe UI"/>
          <w:b/>
          <w:sz w:val="24"/>
          <w:szCs w:val="24"/>
          <w:lang w:val="es-CO"/>
        </w:rPr>
        <w:t>º.</w:t>
      </w:r>
      <w:r w:rsidR="00543A97">
        <w:rPr>
          <w:rFonts w:cs="Segoe UI"/>
          <w:b/>
          <w:sz w:val="24"/>
          <w:szCs w:val="24"/>
          <w:lang w:val="es-CO"/>
        </w:rPr>
        <w:t xml:space="preserve"> Destinación.</w:t>
      </w:r>
      <w:r w:rsidR="005005F3">
        <w:rPr>
          <w:rFonts w:cs="Segoe UI"/>
          <w:b/>
          <w:sz w:val="24"/>
          <w:szCs w:val="24"/>
          <w:lang w:val="es-CO"/>
        </w:rPr>
        <w:t xml:space="preserve"> </w:t>
      </w:r>
      <w:r w:rsidR="00543A97">
        <w:rPr>
          <w:rFonts w:cs="Segoe UI"/>
          <w:sz w:val="24"/>
          <w:szCs w:val="24"/>
          <w:lang w:val="es-CO"/>
        </w:rPr>
        <w:t>La destinación de los recursos provenientes de</w:t>
      </w:r>
      <w:r w:rsidRPr="00E61503">
        <w:rPr>
          <w:rFonts w:cs="Segoe UI"/>
          <w:sz w:val="24"/>
          <w:szCs w:val="24"/>
          <w:lang w:val="es-CO"/>
        </w:rPr>
        <w:t>l recaudo de la estampilla</w:t>
      </w:r>
      <w:r w:rsidR="00543A97">
        <w:rPr>
          <w:rFonts w:cs="Segoe UI"/>
          <w:sz w:val="24"/>
          <w:szCs w:val="24"/>
          <w:lang w:val="es-CO"/>
        </w:rPr>
        <w:t xml:space="preserve"> “</w:t>
      </w:r>
      <w:r w:rsidR="00DE2C39" w:rsidRPr="00E61503">
        <w:rPr>
          <w:rFonts w:cs="Segoe UI"/>
          <w:sz w:val="24"/>
          <w:szCs w:val="24"/>
          <w:lang w:val="es-CO"/>
        </w:rPr>
        <w:t>Pro-Desarrollo</w:t>
      </w:r>
      <w:r w:rsidR="00543A97" w:rsidRPr="00E61503">
        <w:rPr>
          <w:rFonts w:cs="Segoe UI"/>
          <w:sz w:val="24"/>
          <w:szCs w:val="24"/>
          <w:lang w:val="es-CO"/>
        </w:rPr>
        <w:t xml:space="preserve"> Académico y Descentralización de Servicios Educativos de la Universidad de Córdoba</w:t>
      </w:r>
      <w:r w:rsidR="00543A97">
        <w:rPr>
          <w:rFonts w:cs="Segoe UI"/>
          <w:sz w:val="24"/>
          <w:szCs w:val="24"/>
          <w:lang w:val="es-CO"/>
        </w:rPr>
        <w:t>” será a cargo de</w:t>
      </w:r>
      <w:r w:rsidRPr="00E61503">
        <w:rPr>
          <w:rFonts w:cs="Segoe UI"/>
          <w:sz w:val="24"/>
          <w:szCs w:val="24"/>
          <w:lang w:val="es-CO"/>
        </w:rPr>
        <w:t xml:space="preserve">l Consejo Superior de la Universidad de Córdoba </w:t>
      </w:r>
      <w:r w:rsidR="00543A97">
        <w:rPr>
          <w:rFonts w:cs="Segoe UI"/>
          <w:sz w:val="24"/>
          <w:szCs w:val="24"/>
          <w:lang w:val="es-CO"/>
        </w:rPr>
        <w:t xml:space="preserve">quien tendrá que </w:t>
      </w:r>
      <w:r w:rsidRPr="00E61503">
        <w:rPr>
          <w:rFonts w:cs="Segoe UI"/>
          <w:sz w:val="24"/>
          <w:szCs w:val="24"/>
          <w:lang w:val="es-CO"/>
        </w:rPr>
        <w:t>establecer en el presupuesto anual de la Universidad, las cantidades y porcentajes que se destinarán a cada ítem de acuerdo con la ley.</w:t>
      </w:r>
    </w:p>
    <w:p w14:paraId="4ED6C6A2" w14:textId="77777777" w:rsidR="00E61503" w:rsidRPr="00E61503" w:rsidRDefault="00E61503" w:rsidP="00D42684">
      <w:pPr>
        <w:spacing w:before="0" w:after="0" w:line="276" w:lineRule="auto"/>
        <w:jc w:val="both"/>
        <w:rPr>
          <w:rFonts w:cs="Segoe UI"/>
          <w:sz w:val="24"/>
          <w:szCs w:val="24"/>
          <w:lang w:val="es-CO"/>
        </w:rPr>
      </w:pPr>
    </w:p>
    <w:p w14:paraId="208F0660" w14:textId="54FE1FE4" w:rsidR="00E61503" w:rsidRPr="00E61503" w:rsidRDefault="00E61503" w:rsidP="00D42684">
      <w:pPr>
        <w:spacing w:before="0" w:after="0" w:line="276" w:lineRule="auto"/>
        <w:jc w:val="both"/>
        <w:rPr>
          <w:rFonts w:cs="Segoe UI"/>
          <w:sz w:val="24"/>
          <w:szCs w:val="24"/>
          <w:lang w:val="es-CO"/>
        </w:rPr>
      </w:pPr>
      <w:r w:rsidRPr="00E61503">
        <w:rPr>
          <w:rFonts w:cs="Segoe UI"/>
          <w:b/>
          <w:sz w:val="24"/>
          <w:szCs w:val="24"/>
          <w:lang w:val="es-CO"/>
        </w:rPr>
        <w:t>Parágrafo.</w:t>
      </w:r>
      <w:r w:rsidRPr="00E61503">
        <w:rPr>
          <w:rFonts w:cs="Segoe UI"/>
          <w:sz w:val="24"/>
          <w:szCs w:val="24"/>
          <w:lang w:val="es-CO"/>
        </w:rPr>
        <w:t xml:space="preserve"> </w:t>
      </w:r>
      <w:r w:rsidR="007543D9" w:rsidRPr="007543D9">
        <w:rPr>
          <w:rFonts w:cs="Segoe UI"/>
          <w:sz w:val="24"/>
          <w:szCs w:val="24"/>
          <w:lang w:val="es-CO"/>
        </w:rPr>
        <w:t xml:space="preserve">La tarifa contemplada en esta ley </w:t>
      </w:r>
      <w:r w:rsidR="002E3B00">
        <w:rPr>
          <w:rFonts w:cs="Segoe UI"/>
          <w:sz w:val="24"/>
          <w:szCs w:val="24"/>
          <w:lang w:val="es-CO"/>
        </w:rPr>
        <w:t xml:space="preserve">estará entre el uno por ciento (1%) y </w:t>
      </w:r>
      <w:r w:rsidR="007543D9" w:rsidRPr="007543D9">
        <w:rPr>
          <w:rFonts w:cs="Segoe UI"/>
          <w:sz w:val="24"/>
          <w:szCs w:val="24"/>
          <w:lang w:val="es-CO"/>
        </w:rPr>
        <w:t>el dos por ciento (2%) del valor del hecho sujeto al gravamen.</w:t>
      </w:r>
    </w:p>
    <w:p w14:paraId="29F45C54" w14:textId="77777777" w:rsidR="00E61503" w:rsidRPr="00E61503" w:rsidRDefault="00E61503" w:rsidP="00D42684">
      <w:pPr>
        <w:spacing w:before="0" w:after="0" w:line="276" w:lineRule="auto"/>
        <w:jc w:val="both"/>
        <w:rPr>
          <w:rFonts w:cs="Segoe UI"/>
          <w:sz w:val="24"/>
          <w:szCs w:val="24"/>
          <w:lang w:val="es-CO"/>
        </w:rPr>
      </w:pPr>
    </w:p>
    <w:p w14:paraId="1E86D8FC" w14:textId="2E046180" w:rsidR="00E61503" w:rsidRPr="00E61503" w:rsidRDefault="00E61503" w:rsidP="00D42684">
      <w:pPr>
        <w:spacing w:before="0" w:after="0" w:line="276" w:lineRule="auto"/>
        <w:jc w:val="both"/>
        <w:rPr>
          <w:rFonts w:cs="Segoe UI"/>
          <w:sz w:val="24"/>
          <w:szCs w:val="24"/>
          <w:lang w:val="es-CO"/>
        </w:rPr>
      </w:pPr>
      <w:r w:rsidRPr="00E61503">
        <w:rPr>
          <w:rFonts w:cs="Segoe UI"/>
          <w:b/>
          <w:sz w:val="24"/>
          <w:szCs w:val="24"/>
          <w:lang w:val="es-CO"/>
        </w:rPr>
        <w:t xml:space="preserve">Artículo </w:t>
      </w:r>
      <w:r w:rsidR="00543A97">
        <w:rPr>
          <w:rFonts w:cs="Segoe UI"/>
          <w:b/>
          <w:sz w:val="24"/>
          <w:szCs w:val="24"/>
          <w:lang w:val="es-CO"/>
        </w:rPr>
        <w:t>7</w:t>
      </w:r>
      <w:r w:rsidRPr="00E61503">
        <w:rPr>
          <w:rFonts w:cs="Segoe UI"/>
          <w:b/>
          <w:sz w:val="24"/>
          <w:szCs w:val="24"/>
          <w:lang w:val="es-CO"/>
        </w:rPr>
        <w:t>°.</w:t>
      </w:r>
      <w:r w:rsidRPr="00E61503">
        <w:rPr>
          <w:rFonts w:cs="Segoe UI"/>
          <w:sz w:val="24"/>
          <w:szCs w:val="24"/>
          <w:lang w:val="es-CO"/>
        </w:rPr>
        <w:t xml:space="preserve"> </w:t>
      </w:r>
      <w:r w:rsidR="005C2038">
        <w:rPr>
          <w:rFonts w:cs="Segoe UI"/>
          <w:sz w:val="24"/>
          <w:szCs w:val="24"/>
          <w:lang w:val="es-CO"/>
        </w:rPr>
        <w:t>Cada año, d</w:t>
      </w:r>
      <w:r w:rsidRPr="00E61503">
        <w:rPr>
          <w:rFonts w:cs="Segoe UI"/>
          <w:sz w:val="24"/>
          <w:szCs w:val="24"/>
          <w:lang w:val="es-CO"/>
        </w:rPr>
        <w:t>entro de los quince 15 días siguientes al inicio de las sesiones ordinarias de Asamblea Departamental de Córdoba, el Consejo Superior de la Universidad de Córdoba, por medio de su rector, presentará un informe a la Asamblea Departamental sobre el monto de los recursos recaudados desde la vigencia de la estampilla, la distribución para el periodo del informe, el plan de inversión, una evaluación de impacto económico y social en materia de inversión de los recursos recaudados por concepto de la estampilla, además de los objetivos y metas de los recursos a invertir cuando la ejecución de los mismos requiera de más de una vigencia.</w:t>
      </w:r>
    </w:p>
    <w:p w14:paraId="363F068D" w14:textId="77777777" w:rsidR="00E61503" w:rsidRPr="00E61503" w:rsidRDefault="00E61503" w:rsidP="00D42684">
      <w:pPr>
        <w:spacing w:before="0" w:after="0" w:line="276" w:lineRule="auto"/>
        <w:jc w:val="both"/>
        <w:rPr>
          <w:rFonts w:cs="Segoe UI"/>
          <w:sz w:val="24"/>
          <w:szCs w:val="24"/>
          <w:lang w:val="es-CO"/>
        </w:rPr>
      </w:pPr>
    </w:p>
    <w:p w14:paraId="64B1BE4B" w14:textId="2B344D40" w:rsidR="00866C7A" w:rsidRPr="00E61503" w:rsidRDefault="00E61503" w:rsidP="00D42684">
      <w:pPr>
        <w:spacing w:before="0" w:after="0" w:line="276" w:lineRule="auto"/>
        <w:jc w:val="both"/>
        <w:rPr>
          <w:rFonts w:cs="Segoe UI"/>
          <w:sz w:val="24"/>
          <w:szCs w:val="24"/>
          <w:lang w:val="es-CO"/>
        </w:rPr>
      </w:pPr>
      <w:r w:rsidRPr="00E61503">
        <w:rPr>
          <w:rFonts w:cs="Segoe UI"/>
          <w:b/>
          <w:sz w:val="24"/>
          <w:szCs w:val="24"/>
          <w:lang w:val="es-CO"/>
        </w:rPr>
        <w:t xml:space="preserve">Artículo </w:t>
      </w:r>
      <w:r w:rsidR="00543A97">
        <w:rPr>
          <w:rFonts w:cs="Segoe UI"/>
          <w:b/>
          <w:sz w:val="24"/>
          <w:szCs w:val="24"/>
          <w:lang w:val="es-CO"/>
        </w:rPr>
        <w:t>8</w:t>
      </w:r>
      <w:r w:rsidRPr="00E61503">
        <w:rPr>
          <w:rFonts w:cs="Segoe UI"/>
          <w:b/>
          <w:sz w:val="24"/>
          <w:szCs w:val="24"/>
          <w:lang w:val="es-CO"/>
        </w:rPr>
        <w:t>°.</w:t>
      </w:r>
      <w:r w:rsidRPr="00E61503">
        <w:rPr>
          <w:rFonts w:cs="Segoe UI"/>
          <w:sz w:val="24"/>
          <w:szCs w:val="24"/>
          <w:lang w:val="es-CO"/>
        </w:rPr>
        <w:t xml:space="preserve"> La presente ley rige a partir de la fecha de su promulgación y hasta tanto se recaude el monto total aprobado en el artículo 2° de la Ley 382 de 1997, y deroga todas las disposiciones que le sean contrarias.</w:t>
      </w:r>
    </w:p>
    <w:p w14:paraId="10FAD381" w14:textId="0190BE54" w:rsidR="00E61503" w:rsidRPr="00E61503" w:rsidRDefault="00E61503" w:rsidP="00D42684">
      <w:pPr>
        <w:spacing w:before="0" w:after="0" w:line="276" w:lineRule="auto"/>
        <w:jc w:val="both"/>
        <w:rPr>
          <w:rFonts w:cs="Segoe UI"/>
          <w:sz w:val="24"/>
          <w:szCs w:val="24"/>
          <w:lang w:val="es-CO"/>
        </w:rPr>
      </w:pPr>
    </w:p>
    <w:p w14:paraId="28E2546A" w14:textId="451AAD1A" w:rsidR="00E61503" w:rsidRPr="00E61503" w:rsidRDefault="00E61503" w:rsidP="00D42684">
      <w:pPr>
        <w:spacing w:before="0" w:after="0" w:line="276" w:lineRule="auto"/>
        <w:jc w:val="both"/>
        <w:rPr>
          <w:rFonts w:cs="Segoe UI"/>
          <w:sz w:val="24"/>
          <w:szCs w:val="24"/>
          <w:lang w:val="es-CO"/>
        </w:rPr>
      </w:pPr>
      <w:r w:rsidRPr="00E61503">
        <w:rPr>
          <w:rFonts w:cs="Segoe UI"/>
          <w:sz w:val="24"/>
          <w:szCs w:val="24"/>
          <w:lang w:val="es-CO"/>
        </w:rPr>
        <w:t xml:space="preserve">De los Honorables Congresistas, </w:t>
      </w:r>
    </w:p>
    <w:p w14:paraId="2B6F96F0" w14:textId="47170988" w:rsidR="00E61503" w:rsidRDefault="00E61503" w:rsidP="00D42684">
      <w:pPr>
        <w:spacing w:before="0" w:after="0" w:line="276" w:lineRule="auto"/>
        <w:jc w:val="both"/>
        <w:rPr>
          <w:rFonts w:cs="Segoe UI"/>
          <w:sz w:val="24"/>
          <w:szCs w:val="24"/>
          <w:lang w:val="es-CO"/>
        </w:rPr>
      </w:pPr>
    </w:p>
    <w:p w14:paraId="59D56E7C" w14:textId="6BFC8135" w:rsidR="00E61503" w:rsidRDefault="00E61503" w:rsidP="00D42684">
      <w:pPr>
        <w:spacing w:before="0" w:after="0" w:line="276" w:lineRule="auto"/>
        <w:jc w:val="both"/>
        <w:rPr>
          <w:rFonts w:cs="Segoe UI"/>
          <w:sz w:val="24"/>
          <w:szCs w:val="24"/>
          <w:lang w:val="es-CO"/>
        </w:rPr>
      </w:pPr>
    </w:p>
    <w:p w14:paraId="50F5B940" w14:textId="77777777" w:rsidR="00E61503" w:rsidRPr="00E61503" w:rsidRDefault="00E61503" w:rsidP="00D42684">
      <w:pPr>
        <w:spacing w:before="0" w:after="0" w:line="276" w:lineRule="auto"/>
        <w:jc w:val="both"/>
        <w:rPr>
          <w:rFonts w:cs="Segoe UI"/>
          <w:sz w:val="24"/>
          <w:szCs w:val="24"/>
          <w:lang w:val="es-CO"/>
        </w:rPr>
      </w:pPr>
    </w:p>
    <w:p w14:paraId="1E649129" w14:textId="13219974" w:rsidR="00E61503" w:rsidRPr="00E61503" w:rsidRDefault="00E61503" w:rsidP="00D42684">
      <w:pPr>
        <w:spacing w:before="0" w:after="0" w:line="276" w:lineRule="auto"/>
        <w:jc w:val="both"/>
        <w:rPr>
          <w:rFonts w:cs="Segoe UI"/>
          <w:sz w:val="24"/>
          <w:szCs w:val="24"/>
          <w:lang w:val="es-CO"/>
        </w:rPr>
      </w:pPr>
    </w:p>
    <w:p w14:paraId="0B08BC87" w14:textId="0B2B8061" w:rsidR="00E61503" w:rsidRDefault="00E61503" w:rsidP="00B210EC">
      <w:pPr>
        <w:spacing w:before="0" w:after="0" w:line="276" w:lineRule="auto"/>
        <w:jc w:val="center"/>
        <w:rPr>
          <w:rFonts w:cs="Segoe UI"/>
          <w:b/>
          <w:sz w:val="24"/>
          <w:szCs w:val="24"/>
          <w:lang w:val="es-CO"/>
        </w:rPr>
      </w:pPr>
      <w:r>
        <w:rPr>
          <w:rFonts w:cs="Segoe UI"/>
          <w:b/>
          <w:sz w:val="24"/>
          <w:szCs w:val="24"/>
          <w:lang w:val="es-CO"/>
        </w:rPr>
        <w:t>RUBY HELENA CHAGÜI SPATH</w:t>
      </w:r>
    </w:p>
    <w:p w14:paraId="1EE8C15D" w14:textId="0D2FD73E" w:rsidR="00E61503" w:rsidRDefault="00E61503" w:rsidP="00B210EC">
      <w:pPr>
        <w:spacing w:before="0" w:after="0" w:line="276" w:lineRule="auto"/>
        <w:jc w:val="center"/>
        <w:rPr>
          <w:rFonts w:cs="Segoe UI"/>
          <w:sz w:val="24"/>
          <w:szCs w:val="24"/>
          <w:lang w:val="es-CO"/>
        </w:rPr>
      </w:pPr>
      <w:r>
        <w:rPr>
          <w:rFonts w:cs="Segoe UI"/>
          <w:sz w:val="24"/>
          <w:szCs w:val="24"/>
          <w:lang w:val="es-CO"/>
        </w:rPr>
        <w:t>Senadora de la República</w:t>
      </w:r>
    </w:p>
    <w:p w14:paraId="3EC73655" w14:textId="2983F9E8" w:rsidR="00E61503" w:rsidRPr="00E61503" w:rsidRDefault="00E61503" w:rsidP="00B210EC">
      <w:pPr>
        <w:spacing w:before="0" w:after="0" w:line="276" w:lineRule="auto"/>
        <w:jc w:val="center"/>
        <w:rPr>
          <w:rFonts w:cs="Segoe UI"/>
          <w:sz w:val="24"/>
          <w:szCs w:val="24"/>
          <w:lang w:val="es-CO"/>
        </w:rPr>
      </w:pPr>
      <w:r>
        <w:rPr>
          <w:rFonts w:cs="Segoe UI"/>
          <w:sz w:val="24"/>
          <w:szCs w:val="24"/>
          <w:lang w:val="es-CO"/>
        </w:rPr>
        <w:t>Partido Centro Democrático</w:t>
      </w:r>
    </w:p>
    <w:sectPr w:rsidR="00E61503" w:rsidRPr="00E61503" w:rsidSect="003F0B4C">
      <w:headerReference w:type="default" r:id="rId10"/>
      <w:footerReference w:type="default" r:id="rId11"/>
      <w:pgSz w:w="12242" w:h="15842" w:code="1"/>
      <w:pgMar w:top="238" w:right="1701" w:bottom="1418" w:left="1701"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E9464" w14:textId="77777777" w:rsidR="007D3811" w:rsidRDefault="007D3811">
      <w:r>
        <w:separator/>
      </w:r>
    </w:p>
  </w:endnote>
  <w:endnote w:type="continuationSeparator" w:id="0">
    <w:p w14:paraId="5100F20B" w14:textId="77777777" w:rsidR="007D3811" w:rsidRDefault="007D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2CA4" w14:textId="77777777" w:rsidR="00D50350" w:rsidRDefault="00D50350" w:rsidP="00462B2E">
    <w:pPr>
      <w:pStyle w:val="Ttulo4"/>
      <w:numPr>
        <w:ilvl w:val="0"/>
        <w:numId w:val="0"/>
      </w:numPr>
      <w:spacing w:before="0" w:after="0"/>
      <w:jc w:val="center"/>
      <w:rPr>
        <w:i/>
      </w:rPr>
    </w:pPr>
    <w:r w:rsidRPr="00DE2C39">
      <w:rPr>
        <w:i/>
      </w:rPr>
      <w:t>AQUÍ VIVE LA DEMOCRACIA</w:t>
    </w:r>
  </w:p>
  <w:p w14:paraId="0A7AA622" w14:textId="18AA7B8D" w:rsidR="00D50350" w:rsidRPr="00462B2E" w:rsidRDefault="00D50350" w:rsidP="00462B2E">
    <w:pPr>
      <w:pStyle w:val="Ttulo4"/>
      <w:numPr>
        <w:ilvl w:val="0"/>
        <w:numId w:val="0"/>
      </w:numPr>
      <w:spacing w:before="0" w:after="0"/>
      <w:jc w:val="center"/>
      <w:rPr>
        <w:i/>
      </w:rPr>
    </w:pPr>
    <w:r w:rsidRPr="00462B2E">
      <w:rPr>
        <w:b w:val="0"/>
        <w:bCs w:val="0"/>
        <w:iCs w:val="0"/>
        <w:noProof/>
        <w:sz w:val="22"/>
        <w:lang w:val="es-ES" w:eastAsia="es-ES"/>
      </w:rPr>
      <w:t xml:space="preserve"> </w:t>
    </w:r>
    <w:r w:rsidRPr="00462B2E">
      <w:rPr>
        <w:i/>
        <w:noProof/>
        <w:lang w:val="es-CO" w:eastAsia="es-CO"/>
      </w:rPr>
      <mc:AlternateContent>
        <mc:Choice Requires="wpg">
          <w:drawing>
            <wp:inline distT="0" distB="0" distL="0" distR="0" wp14:anchorId="3DFA9400" wp14:editId="510C8EDA">
              <wp:extent cx="2881630" cy="1587"/>
              <wp:effectExtent l="0" t="19050" r="13970" b="36830"/>
              <wp:docPr id="18" name="6 Grupo"/>
              <wp:cNvGraphicFramePr/>
              <a:graphic xmlns:a="http://schemas.openxmlformats.org/drawingml/2006/main">
                <a:graphicData uri="http://schemas.microsoft.com/office/word/2010/wordprocessingGroup">
                  <wpg:wgp>
                    <wpg:cNvGrpSpPr/>
                    <wpg:grpSpPr>
                      <a:xfrm>
                        <a:off x="0" y="0"/>
                        <a:ext cx="2881630" cy="1587"/>
                        <a:chOff x="0" y="0"/>
                        <a:chExt cx="2881630" cy="1587"/>
                      </a:xfrm>
                    </wpg:grpSpPr>
                    <wps:wsp>
                      <wps:cNvPr id="19" name="3 Conector recto de flecha"/>
                      <wps:cNvCnPr>
                        <a:cxnSpLocks noChangeShapeType="1"/>
                      </wps:cNvCnPr>
                      <wps:spPr bwMode="auto">
                        <a:xfrm>
                          <a:off x="2161540" y="1587"/>
                          <a:ext cx="720090" cy="0"/>
                        </a:xfrm>
                        <a:prstGeom prst="straightConnector1">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wps:wsp>
                      <wps:cNvPr id="20" name="4 Conector recto de flecha"/>
                      <wps:cNvCnPr>
                        <a:cxnSpLocks noChangeShapeType="1"/>
                      </wps:cNvCnPr>
                      <wps:spPr bwMode="auto">
                        <a:xfrm>
                          <a:off x="1442720" y="0"/>
                          <a:ext cx="720090" cy="0"/>
                        </a:xfrm>
                        <a:prstGeom prst="straightConnector1">
                          <a:avLst/>
                        </a:prstGeom>
                        <a:noFill/>
                        <a:ln w="57150">
                          <a:solidFill>
                            <a:srgbClr val="548DD4"/>
                          </a:solidFill>
                          <a:round/>
                          <a:headEnd/>
                          <a:tailEnd/>
                        </a:ln>
                        <a:extLst>
                          <a:ext uri="{909E8E84-426E-40DD-AFC4-6F175D3DCCD1}">
                            <a14:hiddenFill xmlns:a14="http://schemas.microsoft.com/office/drawing/2010/main">
                              <a:noFill/>
                            </a14:hiddenFill>
                          </a:ext>
                        </a:extLst>
                      </wps:spPr>
                      <wps:bodyPr/>
                    </wps:wsp>
                    <wps:wsp>
                      <wps:cNvPr id="21" name="5 Conector recto de flecha"/>
                      <wps:cNvCnPr>
                        <a:cxnSpLocks noChangeShapeType="1"/>
                      </wps:cNvCnPr>
                      <wps:spPr bwMode="auto">
                        <a:xfrm flipV="1">
                          <a:off x="0" y="635"/>
                          <a:ext cx="1440180" cy="0"/>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826507" id="6 Grupo" o:spid="_x0000_s1026" style="width:226.9pt;height:.1pt;mso-position-horizontal-relative:char;mso-position-vertical-relative:line" coordsize="288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0e5QIAAAgLAAAOAAAAZHJzL2Uyb0RvYy54bWzsVl1v2jAUfZ+0/2DlnSaGBEJUqCYCvHRr&#10;pXZ7N47zoSW2ZRsCmvbfd+0ESlttmjpN7UPzkPjrXt9zfO6NL6/2TY12TOlK8JmHLwIPMU5FVvFi&#10;5n29Xw1iD2lDeEZqwdnMOzDtXc0/frhsZcKGohR1xhQCJ1wnrZx5pTEy8X1NS9YQfSEk4zCZC9UQ&#10;A11V+JkiLXhvan8YBGO/FSqTSlCmNYym3aQ3d/7znFFzk+eaGVTPPIjNuLdy7419+/NLkhSKyLKi&#10;fRjkBVE0pOKw6clVSgxBW1U9c9VUVAktcnNBReOLPK8ocxgADQ6eoFkrsZUOS5G0hTzRBNQ+4enF&#10;bumX3a1CVQZnByfFSQNnNEZrtZXCctPKIoElayXv5K3qB4quZ+Huc9XYLwBBe8fq4cQq2xtEYXAY&#10;x3g8AvIpzOEonnSk0xJO5pkRLZd/MvOPW/o2slMgrQT16AeC9L8RdFcSyRzv2qI/EjQ9EjRCCxAz&#10;NUIhZT8oYyivGS1Jx5mzWvBbZamhe34nrwX9rhEXi5Lwgjn/9wcJXGNrAWDOTGxHA9to034WGawh&#10;WyOcuJ6wPcRjHIVA7CNej7RPID2mPetO5yfuSCKVNmsmGmQbM08bRaqiNICqg4XddmR3rY0N78HA&#10;AuJiVdU1jJOk5qidedEER4Gz0KKuMjtrJ7UqNotaoR2B3FutAngcWJg5XwYa55nzVjKSLfu2IVXd&#10;tWH3mlt/AAzi6Vtdcv2YBtNlvIzDQTgcLwdhkKaDT6tFOBiv8CRKR+likeKfNjQcJmWVZYzb6I6J&#10;jsO/00lfcroUPaX6iQf/sXdHGAR7/Lqg3RHbU7U5pZONyA4un9w4SLcb/u8aHoIguiQP34aGcRgO&#10;QalOw301fpsCjsI4TcN3Ab+2gPFRwNErChiqfSW/2epty9Gjn994FFmRuHLlfn+g8ADHb6gQ21L8&#10;ruPf69hdLeC65ep3fzW097nzPrTPL7DzXwAAAP//AwBQSwMEFAAGAAgAAAAhAGthJIzaAAAAAgEA&#10;AA8AAABkcnMvZG93bnJldi54bWxMj0FLw0AQhe+C/2EZwZvdpLUiMZtSinoqgq0g3qbZaRKanQ3Z&#10;bZL+e0cvenkwvOG97+WrybVqoD40ng2kswQUceltw5WBj/3L3SOoEJEttp7JwIUCrIrrqxwz60d+&#10;p2EXKyUhHDI0UMfYZVqHsiaHYeY7YvGOvncY5ewrbXscJdy1ep4kD9phw9JQY0ebmsrT7uwMvI44&#10;rhfp87A9HTeXr/3y7XObkjG3N9P6CVSkKf49ww++oEMhTAd/ZhtUa0CGxF8V7365kBkHA3PQRa7/&#10;oxffAAAA//8DAFBLAQItABQABgAIAAAAIQC2gziS/gAAAOEBAAATAAAAAAAAAAAAAAAAAAAAAABb&#10;Q29udGVudF9UeXBlc10ueG1sUEsBAi0AFAAGAAgAAAAhADj9If/WAAAAlAEAAAsAAAAAAAAAAAAA&#10;AAAALwEAAF9yZWxzLy5yZWxzUEsBAi0AFAAGAAgAAAAhAKR0XR7lAgAACAsAAA4AAAAAAAAAAAAA&#10;AAAALgIAAGRycy9lMm9Eb2MueG1sUEsBAi0AFAAGAAgAAAAhAGthJIzaAAAAAgEAAA8AAAAAAAAA&#10;AAAAAAAAPwUAAGRycy9kb3ducmV2LnhtbFBLBQYAAAAABAAEAPMAAABGBgAAAAA=&#10;">
              <v:shapetype id="_x0000_t32" coordsize="21600,21600" o:spt="32" o:oned="t" path="m,l21600,21600e" filled="f">
                <v:path arrowok="t" fillok="f" o:connecttype="none"/>
                <o:lock v:ext="edit" shapetype="t"/>
              </v:shapetype>
              <v:shape id="3 Conector recto de flecha" o:spid="_x0000_s1027" type="#_x0000_t32" style="position:absolute;left:21615;top:15;width:72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tFwQAAANsAAAAPAAAAZHJzL2Rvd25yZXYueG1sRE89a8Mw&#10;EN0L+Q/iCt0ayR6axokSSqBQqIfEcfaLdbFNrJOxVNv991Wh0O0e7/O2+9l2YqTBt441JEsFgrhy&#10;puVaQ3l+f34F4QOywc4xafgmD/vd4mGLmXETn2gsQi1iCPsMNTQh9JmUvmrIol+6njhyNzdYDBEO&#10;tTQDTjHcdjJV6kVabDk2NNjToaHqXnxZDcU1KcY8L+lyOtpkVSuZfk6j1k+P89sGRKA5/Iv/3B8m&#10;zl/D7y/xALn7AQAA//8DAFBLAQItABQABgAIAAAAIQDb4fbL7gAAAIUBAAATAAAAAAAAAAAAAAAA&#10;AAAAAABbQ29udGVudF9UeXBlc10ueG1sUEsBAi0AFAAGAAgAAAAhAFr0LFu/AAAAFQEAAAsAAAAA&#10;AAAAAAAAAAAAHwEAAF9yZWxzLy5yZWxzUEsBAi0AFAAGAAgAAAAhAFyfC0XBAAAA2wAAAA8AAAAA&#10;AAAAAAAAAAAABwIAAGRycy9kb3ducmV2LnhtbFBLBQYAAAAAAwADALcAAAD1AgAAAAA=&#10;" strokecolor="red" strokeweight="4.5pt"/>
              <v:shape id="4 Conector recto de flecha" o:spid="_x0000_s1028" type="#_x0000_t32" style="position:absolute;left:14427;width:72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cEwAAAANsAAAAPAAAAZHJzL2Rvd25yZXYueG1sRE/LSsNA&#10;FN0X/IfhCu6aSSMUSTMJpSDoJmAq7faSuXk1cydmxjT+vbMQXB7OOytWM4qFZtdbVrCLYhDEtdU9&#10;two+z6/bFxDOI2scLZOCH3JQ5A+bDFNt7/xBS+VbEULYpaig835KpXR1RwZdZCfiwDV2NugDnFup&#10;Z7yHcDPKJI730mDPoaHDiU4d1bfq2ygYh6/nshnKNr5U5fl93yeVuRqlnh7X4wGEp9X/i//cb1pB&#10;EtaHL+EHyPwXAAD//wMAUEsBAi0AFAAGAAgAAAAhANvh9svuAAAAhQEAABMAAAAAAAAAAAAAAAAA&#10;AAAAAFtDb250ZW50X1R5cGVzXS54bWxQSwECLQAUAAYACAAAACEAWvQsW78AAAAVAQAACwAAAAAA&#10;AAAAAAAAAAAfAQAAX3JlbHMvLnJlbHNQSwECLQAUAAYACAAAACEADhsnBMAAAADbAAAADwAAAAAA&#10;AAAAAAAAAAAHAgAAZHJzL2Rvd25yZXYueG1sUEsFBgAAAAADAAMAtwAAAPQCAAAAAA==&#10;" strokecolor="#548dd4" strokeweight="4.5pt"/>
              <v:shape id="5 Conector recto de flecha" o:spid="_x0000_s1029" type="#_x0000_t32" style="position:absolute;top:6;width:144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TimxAAAANsAAAAPAAAAZHJzL2Rvd25yZXYueG1sRI9Pi8Iw&#10;FMTvC36H8AQvi6b2IGs1ioiii6et/66P5tkWm5fSRO366c3CgsdhZn7DTOetqcSdGldaVjAcRCCI&#10;M6tLzhUc9uv+FwjnkTVWlknBLzmYzzofU0y0ffAP3VOfiwBhl6CCwvs6kdJlBRl0A1sTB+9iG4M+&#10;yCaXusFHgJtKxlE0kgZLDgsF1rQsKLumN6NgdzptxtfNOI8/v226Xj25PB7PSvW67WICwlPr3+H/&#10;9lYriIfw9yX8ADl7AQAA//8DAFBLAQItABQABgAIAAAAIQDb4fbL7gAAAIUBAAATAAAAAAAAAAAA&#10;AAAAAAAAAABbQ29udGVudF9UeXBlc10ueG1sUEsBAi0AFAAGAAgAAAAhAFr0LFu/AAAAFQEAAAsA&#10;AAAAAAAAAAAAAAAAHwEAAF9yZWxzLy5yZWxzUEsBAi0AFAAGAAgAAAAhADHhOKbEAAAA2wAAAA8A&#10;AAAAAAAAAAAAAAAABwIAAGRycy9kb3ducmV2LnhtbFBLBQYAAAAAAwADALcAAAD4AgAAAAA=&#10;" strokecolor="yellow" strokeweight="4.5pt"/>
              <w10:anchorlock/>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C692D" w14:textId="77777777" w:rsidR="007D3811" w:rsidRDefault="007D3811">
      <w:r>
        <w:separator/>
      </w:r>
    </w:p>
  </w:footnote>
  <w:footnote w:type="continuationSeparator" w:id="0">
    <w:p w14:paraId="14C13C26" w14:textId="77777777" w:rsidR="007D3811" w:rsidRDefault="007D3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62F3" w14:textId="77777777" w:rsidR="00D50350" w:rsidRDefault="00D50350" w:rsidP="003F0B4C">
    <w:pPr>
      <w:pStyle w:val="Encabezado"/>
      <w:rPr>
        <w:noProof/>
        <w:lang w:eastAsia="es-CO"/>
      </w:rPr>
    </w:pPr>
    <w:r>
      <w:rPr>
        <w:noProof/>
        <w:lang w:val="es-CO" w:eastAsia="es-CO"/>
      </w:rPr>
      <w:drawing>
        <wp:anchor distT="0" distB="0" distL="114300" distR="114300" simplePos="0" relativeHeight="251661312" behindDoc="1" locked="0" layoutInCell="1" allowOverlap="1" wp14:anchorId="31616763" wp14:editId="00C80621">
          <wp:simplePos x="0" y="0"/>
          <wp:positionH relativeFrom="margin">
            <wp:align>center</wp:align>
          </wp:positionH>
          <wp:positionV relativeFrom="page">
            <wp:posOffset>549275</wp:posOffset>
          </wp:positionV>
          <wp:extent cx="1549400" cy="587375"/>
          <wp:effectExtent l="0" t="0" r="0" b="3175"/>
          <wp:wrapNone/>
          <wp:docPr id="8" name="Imagen 8" descr="S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58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4ED7B" w14:textId="77777777" w:rsidR="00D50350" w:rsidRDefault="00D50350" w:rsidP="003F0B4C">
    <w:pPr>
      <w:pStyle w:val="Encabezado"/>
      <w:rPr>
        <w:noProof/>
        <w:lang w:eastAsia="es-CO"/>
      </w:rPr>
    </w:pPr>
  </w:p>
  <w:p w14:paraId="3DA73C0F" w14:textId="77777777" w:rsidR="00D50350" w:rsidRDefault="00D50350" w:rsidP="007706C2">
    <w:pPr>
      <w:pStyle w:val="Encabezado"/>
      <w:spacing w:after="0"/>
      <w:rPr>
        <w:noProof/>
        <w:lang w:eastAsia="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982DB24"/>
    <w:lvl w:ilvl="0" w:tplc="77CAE478">
      <w:start w:val="1"/>
      <w:numFmt w:val="upperRoman"/>
      <w:lvlText w:val="%1."/>
      <w:lvlJc w:val="left"/>
      <w:pPr>
        <w:ind w:left="720" w:hanging="72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125F7AE8"/>
    <w:multiLevelType w:val="hybridMultilevel"/>
    <w:tmpl w:val="E3E8E072"/>
    <w:lvl w:ilvl="0" w:tplc="8D00D496">
      <w:start w:val="1"/>
      <w:numFmt w:val="decimal"/>
      <w:pStyle w:val="Ttulo4"/>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4A2447"/>
    <w:multiLevelType w:val="hybridMultilevel"/>
    <w:tmpl w:val="CF2A03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C280AB5"/>
    <w:multiLevelType w:val="hybridMultilevel"/>
    <w:tmpl w:val="E124E72C"/>
    <w:lvl w:ilvl="0" w:tplc="DB70E548">
      <w:start w:val="1"/>
      <w:numFmt w:val="decimal"/>
      <w:pStyle w:val="Sinespaciad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C8565E"/>
    <w:multiLevelType w:val="hybridMultilevel"/>
    <w:tmpl w:val="A00A2614"/>
    <w:lvl w:ilvl="0" w:tplc="24461CD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60E0CAE"/>
    <w:multiLevelType w:val="hybridMultilevel"/>
    <w:tmpl w:val="B97AED22"/>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15:restartNumberingAfterBreak="0">
    <w:nsid w:val="6850145C"/>
    <w:multiLevelType w:val="hybridMultilevel"/>
    <w:tmpl w:val="12F6B72E"/>
    <w:lvl w:ilvl="0" w:tplc="080A0017">
      <w:start w:val="1"/>
      <w:numFmt w:val="lowerLetter"/>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1E106B"/>
    <w:multiLevelType w:val="hybridMultilevel"/>
    <w:tmpl w:val="CE88F6EE"/>
    <w:lvl w:ilvl="0" w:tplc="A0FAFE1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60E3C5A"/>
    <w:multiLevelType w:val="hybridMultilevel"/>
    <w:tmpl w:val="13D67DC8"/>
    <w:lvl w:ilvl="0" w:tplc="63285D26">
      <w:numFmt w:val="bullet"/>
      <w:lvlText w:val=""/>
      <w:lvlJc w:val="left"/>
      <w:pPr>
        <w:ind w:left="360" w:hanging="360"/>
      </w:pPr>
      <w:rPr>
        <w:rFonts w:ascii="Symbol" w:eastAsia="Calibri" w:hAnsi="Symbol" w:cs="Segoe U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76AA1809"/>
    <w:multiLevelType w:val="hybridMultilevel"/>
    <w:tmpl w:val="75E687A0"/>
    <w:lvl w:ilvl="0" w:tplc="AE4E90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CC61282"/>
    <w:multiLevelType w:val="hybridMultilevel"/>
    <w:tmpl w:val="89DAF140"/>
    <w:lvl w:ilvl="0" w:tplc="86E80C44">
      <w:start w:val="1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8"/>
  </w:num>
  <w:num w:numId="5">
    <w:abstractNumId w:val="6"/>
  </w:num>
  <w:num w:numId="6">
    <w:abstractNumId w:val="10"/>
  </w:num>
  <w:num w:numId="7">
    <w:abstractNumId w:val="0"/>
  </w:num>
  <w:num w:numId="8">
    <w:abstractNumId w:val="5"/>
  </w:num>
  <w:num w:numId="9">
    <w:abstractNumId w:val="2"/>
  </w:num>
  <w:num w:numId="10">
    <w:abstractNumId w:val="1"/>
  </w:num>
  <w:num w:numId="11">
    <w:abstractNumId w:val="3"/>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4F"/>
    <w:rsid w:val="00002D60"/>
    <w:rsid w:val="00005751"/>
    <w:rsid w:val="0001014F"/>
    <w:rsid w:val="00043002"/>
    <w:rsid w:val="00064D22"/>
    <w:rsid w:val="000B0584"/>
    <w:rsid w:val="000B2089"/>
    <w:rsid w:val="000B2DC2"/>
    <w:rsid w:val="000B5056"/>
    <w:rsid w:val="000C089F"/>
    <w:rsid w:val="000C749A"/>
    <w:rsid w:val="000D4D3A"/>
    <w:rsid w:val="001028BC"/>
    <w:rsid w:val="00120920"/>
    <w:rsid w:val="00133B6A"/>
    <w:rsid w:val="0017187C"/>
    <w:rsid w:val="0017734C"/>
    <w:rsid w:val="00181FD0"/>
    <w:rsid w:val="00190730"/>
    <w:rsid w:val="0019099D"/>
    <w:rsid w:val="001943A9"/>
    <w:rsid w:val="001D7A6A"/>
    <w:rsid w:val="001F28DA"/>
    <w:rsid w:val="00214640"/>
    <w:rsid w:val="00235C2F"/>
    <w:rsid w:val="00245197"/>
    <w:rsid w:val="002612DB"/>
    <w:rsid w:val="002802D0"/>
    <w:rsid w:val="00284A57"/>
    <w:rsid w:val="002A0792"/>
    <w:rsid w:val="002B5809"/>
    <w:rsid w:val="002C71D1"/>
    <w:rsid w:val="002E3B00"/>
    <w:rsid w:val="002F1F49"/>
    <w:rsid w:val="0030073B"/>
    <w:rsid w:val="00323528"/>
    <w:rsid w:val="003405B8"/>
    <w:rsid w:val="00354AB0"/>
    <w:rsid w:val="003B444A"/>
    <w:rsid w:val="003B517B"/>
    <w:rsid w:val="003C277C"/>
    <w:rsid w:val="003C6668"/>
    <w:rsid w:val="003C7871"/>
    <w:rsid w:val="003E0F5D"/>
    <w:rsid w:val="003E5EE7"/>
    <w:rsid w:val="003F0B4C"/>
    <w:rsid w:val="003F7A22"/>
    <w:rsid w:val="00405D33"/>
    <w:rsid w:val="00406F3B"/>
    <w:rsid w:val="004103E2"/>
    <w:rsid w:val="0044124F"/>
    <w:rsid w:val="00442E84"/>
    <w:rsid w:val="0044489F"/>
    <w:rsid w:val="00462B2E"/>
    <w:rsid w:val="0049058D"/>
    <w:rsid w:val="004C491D"/>
    <w:rsid w:val="004E3382"/>
    <w:rsid w:val="005005F3"/>
    <w:rsid w:val="00503810"/>
    <w:rsid w:val="00521AC2"/>
    <w:rsid w:val="00524AFB"/>
    <w:rsid w:val="00531FAA"/>
    <w:rsid w:val="00543A97"/>
    <w:rsid w:val="005605D1"/>
    <w:rsid w:val="005630AB"/>
    <w:rsid w:val="005668E8"/>
    <w:rsid w:val="0057033C"/>
    <w:rsid w:val="00597670"/>
    <w:rsid w:val="005A576B"/>
    <w:rsid w:val="005A6603"/>
    <w:rsid w:val="005A6902"/>
    <w:rsid w:val="005B7ABD"/>
    <w:rsid w:val="005C2038"/>
    <w:rsid w:val="005D3331"/>
    <w:rsid w:val="005E7397"/>
    <w:rsid w:val="005F4874"/>
    <w:rsid w:val="00605684"/>
    <w:rsid w:val="00607FF5"/>
    <w:rsid w:val="00611363"/>
    <w:rsid w:val="006256E1"/>
    <w:rsid w:val="0062702D"/>
    <w:rsid w:val="00627F9D"/>
    <w:rsid w:val="00635C37"/>
    <w:rsid w:val="00645A5C"/>
    <w:rsid w:val="00663549"/>
    <w:rsid w:val="00673B14"/>
    <w:rsid w:val="006965BF"/>
    <w:rsid w:val="006A0F1A"/>
    <w:rsid w:val="006C0293"/>
    <w:rsid w:val="006D1C45"/>
    <w:rsid w:val="006D6455"/>
    <w:rsid w:val="006F7669"/>
    <w:rsid w:val="007313AB"/>
    <w:rsid w:val="007444D5"/>
    <w:rsid w:val="007543D9"/>
    <w:rsid w:val="007706C2"/>
    <w:rsid w:val="00791606"/>
    <w:rsid w:val="007C771F"/>
    <w:rsid w:val="007D33DD"/>
    <w:rsid w:val="007D3811"/>
    <w:rsid w:val="007D7BEF"/>
    <w:rsid w:val="007E18EF"/>
    <w:rsid w:val="00837D09"/>
    <w:rsid w:val="008529E6"/>
    <w:rsid w:val="00856D76"/>
    <w:rsid w:val="00861178"/>
    <w:rsid w:val="00866C7A"/>
    <w:rsid w:val="00886F1E"/>
    <w:rsid w:val="008941BD"/>
    <w:rsid w:val="008979A2"/>
    <w:rsid w:val="008C38DF"/>
    <w:rsid w:val="008C3EB3"/>
    <w:rsid w:val="008D2F83"/>
    <w:rsid w:val="00903BA2"/>
    <w:rsid w:val="0093310B"/>
    <w:rsid w:val="00940DDC"/>
    <w:rsid w:val="00956923"/>
    <w:rsid w:val="0097100D"/>
    <w:rsid w:val="00971F89"/>
    <w:rsid w:val="00974976"/>
    <w:rsid w:val="00990E56"/>
    <w:rsid w:val="00991216"/>
    <w:rsid w:val="009A2D2F"/>
    <w:rsid w:val="009A384F"/>
    <w:rsid w:val="009C20A1"/>
    <w:rsid w:val="009D42FB"/>
    <w:rsid w:val="009F4C40"/>
    <w:rsid w:val="00A47B45"/>
    <w:rsid w:val="00A523AE"/>
    <w:rsid w:val="00A53448"/>
    <w:rsid w:val="00A547BE"/>
    <w:rsid w:val="00A70E90"/>
    <w:rsid w:val="00AA75AC"/>
    <w:rsid w:val="00AC7B5C"/>
    <w:rsid w:val="00AE3F94"/>
    <w:rsid w:val="00AE4F38"/>
    <w:rsid w:val="00AE601A"/>
    <w:rsid w:val="00AF771D"/>
    <w:rsid w:val="00B029C7"/>
    <w:rsid w:val="00B15669"/>
    <w:rsid w:val="00B16A51"/>
    <w:rsid w:val="00B210EC"/>
    <w:rsid w:val="00B30208"/>
    <w:rsid w:val="00B430A8"/>
    <w:rsid w:val="00B45699"/>
    <w:rsid w:val="00B46FDF"/>
    <w:rsid w:val="00B83FAF"/>
    <w:rsid w:val="00B976BE"/>
    <w:rsid w:val="00BC0094"/>
    <w:rsid w:val="00BC624C"/>
    <w:rsid w:val="00BF41A1"/>
    <w:rsid w:val="00C36DAF"/>
    <w:rsid w:val="00C40091"/>
    <w:rsid w:val="00C432B7"/>
    <w:rsid w:val="00C45083"/>
    <w:rsid w:val="00C548F5"/>
    <w:rsid w:val="00C6265D"/>
    <w:rsid w:val="00C644DD"/>
    <w:rsid w:val="00C911BB"/>
    <w:rsid w:val="00C9781D"/>
    <w:rsid w:val="00CC4650"/>
    <w:rsid w:val="00CD0DD4"/>
    <w:rsid w:val="00CD39AF"/>
    <w:rsid w:val="00CF4574"/>
    <w:rsid w:val="00D00CDD"/>
    <w:rsid w:val="00D24EEA"/>
    <w:rsid w:val="00D32E16"/>
    <w:rsid w:val="00D3706F"/>
    <w:rsid w:val="00D37B53"/>
    <w:rsid w:val="00D42684"/>
    <w:rsid w:val="00D47A0E"/>
    <w:rsid w:val="00D50350"/>
    <w:rsid w:val="00D520E9"/>
    <w:rsid w:val="00D603A9"/>
    <w:rsid w:val="00D630A4"/>
    <w:rsid w:val="00DA6C02"/>
    <w:rsid w:val="00DE2C39"/>
    <w:rsid w:val="00E066F2"/>
    <w:rsid w:val="00E53DFF"/>
    <w:rsid w:val="00E60491"/>
    <w:rsid w:val="00E60BE3"/>
    <w:rsid w:val="00E61503"/>
    <w:rsid w:val="00E64487"/>
    <w:rsid w:val="00E87421"/>
    <w:rsid w:val="00EB032F"/>
    <w:rsid w:val="00EB23A8"/>
    <w:rsid w:val="00EC34FD"/>
    <w:rsid w:val="00EE679D"/>
    <w:rsid w:val="00EF4184"/>
    <w:rsid w:val="00F1542E"/>
    <w:rsid w:val="00F21C9E"/>
    <w:rsid w:val="00F62BDD"/>
    <w:rsid w:val="00FA3D34"/>
    <w:rsid w:val="00FB5ADB"/>
    <w:rsid w:val="00FC73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CE950"/>
  <w15:docId w15:val="{7FE6E3CE-A851-4615-9E62-544F91C6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4F"/>
    <w:pPr>
      <w:spacing w:before="120" w:after="280"/>
    </w:pPr>
    <w:rPr>
      <w:rFonts w:ascii="Segoe UI" w:eastAsiaTheme="minorHAnsi" w:hAnsi="Segoe UI" w:cstheme="minorBidi"/>
      <w:sz w:val="22"/>
      <w:szCs w:val="22"/>
      <w:lang w:val="es-ES_tradnl" w:eastAsia="en-US"/>
    </w:rPr>
  </w:style>
  <w:style w:type="paragraph" w:styleId="Ttulo1">
    <w:name w:val="heading 1"/>
    <w:basedOn w:val="Normal"/>
    <w:next w:val="Normal"/>
    <w:link w:val="Ttulo1Car"/>
    <w:uiPriority w:val="9"/>
    <w:qFormat/>
    <w:rsid w:val="00B45699"/>
    <w:pPr>
      <w:keepNext/>
      <w:keepLines/>
      <w:spacing w:before="240" w:after="0"/>
      <w:outlineLvl w:val="0"/>
    </w:pPr>
    <w:rPr>
      <w:rFonts w:eastAsiaTheme="majorEastAsia" w:cstheme="majorBidi"/>
      <w:b/>
      <w:color w:val="365F91" w:themeColor="accent1" w:themeShade="BF"/>
      <w:szCs w:val="32"/>
    </w:rPr>
  </w:style>
  <w:style w:type="paragraph" w:styleId="Ttulo2">
    <w:name w:val="heading 2"/>
    <w:basedOn w:val="Normal"/>
    <w:next w:val="Normal"/>
    <w:link w:val="Ttulo2Car"/>
    <w:uiPriority w:val="9"/>
    <w:unhideWhenUsed/>
    <w:qFormat/>
    <w:rsid w:val="006965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qFormat/>
    <w:rsid w:val="00543A97"/>
    <w:pPr>
      <w:keepNext/>
      <w:keepLines/>
      <w:numPr>
        <w:numId w:val="10"/>
      </w:numPr>
      <w:spacing w:before="200"/>
      <w:outlineLvl w:val="3"/>
    </w:pPr>
    <w:rPr>
      <w:b/>
      <w:bCs/>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543A97"/>
    <w:rPr>
      <w:rFonts w:ascii="Segoe UI" w:eastAsiaTheme="minorHAnsi" w:hAnsi="Segoe UI" w:cstheme="minorBidi"/>
      <w:b/>
      <w:bCs/>
      <w:iCs/>
      <w:sz w:val="24"/>
      <w:szCs w:val="22"/>
      <w:lang w:val="es-ES_tradnl" w:eastAsia="en-US"/>
    </w:rPr>
  </w:style>
  <w:style w:type="paragraph" w:styleId="Encabezado">
    <w:name w:val="header"/>
    <w:basedOn w:val="Normal"/>
    <w:link w:val="EncabezadoCar"/>
    <w:rsid w:val="00886F1E"/>
    <w:pPr>
      <w:tabs>
        <w:tab w:val="center" w:pos="4419"/>
        <w:tab w:val="right" w:pos="8838"/>
      </w:tabs>
    </w:pPr>
    <w:rPr>
      <w:rFonts w:ascii="Calibri" w:hAnsi="Calibri"/>
      <w:lang w:val="x-none" w:eastAsia="x-none"/>
    </w:rPr>
  </w:style>
  <w:style w:type="character" w:customStyle="1" w:styleId="EncabezadoCar">
    <w:name w:val="Encabezado Car"/>
    <w:link w:val="Encabezado"/>
    <w:rsid w:val="00886F1E"/>
    <w:rPr>
      <w:rFonts w:ascii="Calibri" w:eastAsia="Calibri" w:hAnsi="Calibri" w:cs="Times New Roman"/>
      <w:sz w:val="20"/>
      <w:szCs w:val="20"/>
      <w:lang w:val="x-none" w:eastAsia="x-none"/>
    </w:rPr>
  </w:style>
  <w:style w:type="paragraph" w:styleId="Piedepgina">
    <w:name w:val="footer"/>
    <w:basedOn w:val="Normal"/>
    <w:link w:val="PiedepginaCar"/>
    <w:semiHidden/>
    <w:rsid w:val="00886F1E"/>
    <w:pPr>
      <w:tabs>
        <w:tab w:val="center" w:pos="4419"/>
        <w:tab w:val="right" w:pos="8838"/>
      </w:tabs>
    </w:pPr>
    <w:rPr>
      <w:rFonts w:ascii="Calibri" w:hAnsi="Calibri"/>
      <w:lang w:val="x-none" w:eastAsia="x-none"/>
    </w:rPr>
  </w:style>
  <w:style w:type="character" w:customStyle="1" w:styleId="PiedepginaCar">
    <w:name w:val="Pie de página Car"/>
    <w:link w:val="Piedepgina"/>
    <w:semiHidden/>
    <w:rsid w:val="00886F1E"/>
    <w:rPr>
      <w:rFonts w:ascii="Calibri" w:eastAsia="Calibri" w:hAnsi="Calibri" w:cs="Times New Roman"/>
      <w:sz w:val="20"/>
      <w:szCs w:val="20"/>
      <w:lang w:val="x-none" w:eastAsia="x-none"/>
    </w:rPr>
  </w:style>
  <w:style w:type="paragraph" w:styleId="Prrafodelista">
    <w:name w:val="List Paragraph"/>
    <w:basedOn w:val="Normal"/>
    <w:uiPriority w:val="34"/>
    <w:qFormat/>
    <w:rsid w:val="00F21C9E"/>
    <w:pPr>
      <w:ind w:left="708"/>
    </w:pPr>
  </w:style>
  <w:style w:type="paragraph" w:styleId="Textodeglobo">
    <w:name w:val="Balloon Text"/>
    <w:basedOn w:val="Normal"/>
    <w:link w:val="TextodegloboCar"/>
    <w:uiPriority w:val="99"/>
    <w:semiHidden/>
    <w:unhideWhenUsed/>
    <w:rsid w:val="0057033C"/>
    <w:rPr>
      <w:rFonts w:cs="Segoe UI"/>
      <w:sz w:val="18"/>
      <w:szCs w:val="18"/>
    </w:rPr>
  </w:style>
  <w:style w:type="character" w:customStyle="1" w:styleId="TextodegloboCar">
    <w:name w:val="Texto de globo Car"/>
    <w:link w:val="Textodeglobo"/>
    <w:uiPriority w:val="99"/>
    <w:semiHidden/>
    <w:rsid w:val="0057033C"/>
    <w:rPr>
      <w:rFonts w:ascii="Segoe UI" w:hAnsi="Segoe UI" w:cs="Segoe UI"/>
      <w:sz w:val="18"/>
      <w:szCs w:val="18"/>
      <w:lang w:val="es-ES_tradnl" w:eastAsia="es-ES"/>
    </w:rPr>
  </w:style>
  <w:style w:type="paragraph" w:styleId="Sinespaciado">
    <w:name w:val="No Spacing"/>
    <w:uiPriority w:val="1"/>
    <w:qFormat/>
    <w:rsid w:val="0019099D"/>
    <w:pPr>
      <w:numPr>
        <w:numId w:val="11"/>
      </w:numPr>
    </w:pPr>
    <w:rPr>
      <w:rFonts w:ascii="Segoe UI" w:eastAsiaTheme="minorHAnsi" w:hAnsi="Segoe UI" w:cstheme="minorBidi"/>
      <w:b/>
      <w:sz w:val="22"/>
      <w:szCs w:val="22"/>
      <w:lang w:val="es-ES_tradnl" w:eastAsia="en-US"/>
    </w:rPr>
  </w:style>
  <w:style w:type="paragraph" w:styleId="NormalWeb">
    <w:name w:val="Normal (Web)"/>
    <w:basedOn w:val="Normal"/>
    <w:uiPriority w:val="99"/>
    <w:unhideWhenUsed/>
    <w:rsid w:val="0001014F"/>
    <w:pPr>
      <w:spacing w:before="100" w:beforeAutospacing="1" w:after="100" w:afterAutospacing="1"/>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rsid w:val="0001014F"/>
    <w:pPr>
      <w:pBdr>
        <w:top w:val="nil"/>
        <w:left w:val="nil"/>
        <w:bottom w:val="nil"/>
        <w:right w:val="nil"/>
        <w:between w:val="nil"/>
        <w:bar w:val="nil"/>
      </w:pBdr>
      <w:spacing w:before="0" w:after="0"/>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rsid w:val="0001014F"/>
    <w:rPr>
      <w:rFonts w:ascii="Times New Roman" w:eastAsia="Arial Unicode MS" w:hAnsi="Times New Roman"/>
      <w:bdr w:val="nil"/>
      <w:lang w:val="en-US" w:eastAsia="en-US"/>
    </w:rPr>
  </w:style>
  <w:style w:type="character" w:styleId="Refdenotaalpie">
    <w:name w:val="footnote reference"/>
    <w:rsid w:val="0001014F"/>
    <w:rPr>
      <w:rFonts w:ascii="Times New Roman" w:eastAsia="Arial Unicode MS" w:hAnsi="Times New Roman" w:cs="Times New Roman"/>
      <w:vertAlign w:val="superscript"/>
    </w:rPr>
  </w:style>
  <w:style w:type="table" w:customStyle="1" w:styleId="Tabladecuadrcula4-nfasis11">
    <w:name w:val="Tabla de cuadrícula 4 - Énfasis 11"/>
    <w:basedOn w:val="Tablanormal"/>
    <w:uiPriority w:val="49"/>
    <w:rsid w:val="00C978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B45699"/>
    <w:rPr>
      <w:rFonts w:ascii="Segoe UI" w:eastAsiaTheme="majorEastAsia" w:hAnsi="Segoe UI" w:cstheme="majorBidi"/>
      <w:b/>
      <w:color w:val="365F91" w:themeColor="accent1" w:themeShade="BF"/>
      <w:sz w:val="22"/>
      <w:szCs w:val="32"/>
      <w:lang w:val="es-ES_tradnl" w:eastAsia="en-US"/>
    </w:rPr>
  </w:style>
  <w:style w:type="character" w:customStyle="1" w:styleId="Ttulo2Car">
    <w:name w:val="Título 2 Car"/>
    <w:basedOn w:val="Fuentedeprrafopredeter"/>
    <w:link w:val="Ttulo2"/>
    <w:uiPriority w:val="9"/>
    <w:rsid w:val="006965BF"/>
    <w:rPr>
      <w:rFonts w:asciiTheme="majorHAnsi" w:eastAsiaTheme="majorEastAsia" w:hAnsiTheme="majorHAnsi" w:cstheme="majorBidi"/>
      <w:b/>
      <w:bCs/>
      <w:color w:val="4F81BD" w:themeColor="accent1"/>
      <w:sz w:val="26"/>
      <w:szCs w:val="26"/>
      <w:lang w:val="es-ES_tradnl" w:eastAsia="en-US"/>
    </w:rPr>
  </w:style>
  <w:style w:type="character" w:styleId="Refdecomentario">
    <w:name w:val="annotation reference"/>
    <w:basedOn w:val="Fuentedeprrafopredeter"/>
    <w:uiPriority w:val="99"/>
    <w:semiHidden/>
    <w:unhideWhenUsed/>
    <w:rsid w:val="006965BF"/>
    <w:rPr>
      <w:sz w:val="16"/>
      <w:szCs w:val="16"/>
    </w:rPr>
  </w:style>
  <w:style w:type="paragraph" w:styleId="Textocomentario">
    <w:name w:val="annotation text"/>
    <w:basedOn w:val="Normal"/>
    <w:link w:val="TextocomentarioCar"/>
    <w:uiPriority w:val="99"/>
    <w:semiHidden/>
    <w:unhideWhenUsed/>
    <w:rsid w:val="006965BF"/>
    <w:rPr>
      <w:sz w:val="20"/>
      <w:szCs w:val="20"/>
    </w:rPr>
  </w:style>
  <w:style w:type="character" w:customStyle="1" w:styleId="TextocomentarioCar">
    <w:name w:val="Texto comentario Car"/>
    <w:basedOn w:val="Fuentedeprrafopredeter"/>
    <w:link w:val="Textocomentario"/>
    <w:uiPriority w:val="99"/>
    <w:semiHidden/>
    <w:rsid w:val="006965BF"/>
    <w:rPr>
      <w:rFonts w:ascii="Segoe UI" w:eastAsiaTheme="minorHAnsi" w:hAnsi="Segoe UI" w:cstheme="minorBidi"/>
      <w:lang w:val="es-ES_tradnl" w:eastAsia="en-US"/>
    </w:rPr>
  </w:style>
  <w:style w:type="paragraph" w:styleId="Asuntodelcomentario">
    <w:name w:val="annotation subject"/>
    <w:basedOn w:val="Textocomentario"/>
    <w:next w:val="Textocomentario"/>
    <w:link w:val="AsuntodelcomentarioCar"/>
    <w:uiPriority w:val="99"/>
    <w:semiHidden/>
    <w:unhideWhenUsed/>
    <w:rsid w:val="006965BF"/>
    <w:rPr>
      <w:b/>
      <w:bCs/>
    </w:rPr>
  </w:style>
  <w:style w:type="character" w:customStyle="1" w:styleId="AsuntodelcomentarioCar">
    <w:name w:val="Asunto del comentario Car"/>
    <w:basedOn w:val="TextocomentarioCar"/>
    <w:link w:val="Asuntodelcomentario"/>
    <w:uiPriority w:val="99"/>
    <w:semiHidden/>
    <w:rsid w:val="006965BF"/>
    <w:rPr>
      <w:rFonts w:ascii="Segoe UI" w:eastAsiaTheme="minorHAnsi" w:hAnsi="Segoe UI" w:cstheme="minorBidi"/>
      <w:b/>
      <w:bCs/>
      <w:lang w:val="es-ES_tradnl" w:eastAsia="en-US"/>
    </w:rPr>
  </w:style>
  <w:style w:type="character" w:customStyle="1" w:styleId="iaj">
    <w:name w:val="i_aj"/>
    <w:basedOn w:val="Fuentedeprrafopredeter"/>
    <w:rsid w:val="002A0792"/>
  </w:style>
  <w:style w:type="character" w:styleId="Hipervnculo">
    <w:name w:val="Hyperlink"/>
    <w:basedOn w:val="Fuentedeprrafopredeter"/>
    <w:uiPriority w:val="99"/>
    <w:semiHidden/>
    <w:unhideWhenUsed/>
    <w:rsid w:val="00663549"/>
    <w:rPr>
      <w:color w:val="0000FF"/>
      <w:u w:val="single"/>
    </w:rPr>
  </w:style>
  <w:style w:type="paragraph" w:styleId="Revisin">
    <w:name w:val="Revision"/>
    <w:hidden/>
    <w:uiPriority w:val="99"/>
    <w:semiHidden/>
    <w:rsid w:val="00D32E16"/>
    <w:rPr>
      <w:rFonts w:ascii="Segoe UI" w:eastAsiaTheme="minorHAnsi" w:hAnsi="Segoe UI" w:cstheme="minorBid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5084">
      <w:bodyDiv w:val="1"/>
      <w:marLeft w:val="0"/>
      <w:marRight w:val="0"/>
      <w:marTop w:val="0"/>
      <w:marBottom w:val="0"/>
      <w:divBdr>
        <w:top w:val="none" w:sz="0" w:space="0" w:color="auto"/>
        <w:left w:val="none" w:sz="0" w:space="0" w:color="auto"/>
        <w:bottom w:val="none" w:sz="0" w:space="0" w:color="auto"/>
        <w:right w:val="none" w:sz="0" w:space="0" w:color="auto"/>
      </w:divBdr>
    </w:div>
    <w:div w:id="276178008">
      <w:bodyDiv w:val="1"/>
      <w:marLeft w:val="0"/>
      <w:marRight w:val="0"/>
      <w:marTop w:val="0"/>
      <w:marBottom w:val="0"/>
      <w:divBdr>
        <w:top w:val="none" w:sz="0" w:space="0" w:color="auto"/>
        <w:left w:val="none" w:sz="0" w:space="0" w:color="auto"/>
        <w:bottom w:val="none" w:sz="0" w:space="0" w:color="auto"/>
        <w:right w:val="none" w:sz="0" w:space="0" w:color="auto"/>
      </w:divBdr>
    </w:div>
    <w:div w:id="319777794">
      <w:bodyDiv w:val="1"/>
      <w:marLeft w:val="0"/>
      <w:marRight w:val="0"/>
      <w:marTop w:val="0"/>
      <w:marBottom w:val="0"/>
      <w:divBdr>
        <w:top w:val="none" w:sz="0" w:space="0" w:color="auto"/>
        <w:left w:val="none" w:sz="0" w:space="0" w:color="auto"/>
        <w:bottom w:val="none" w:sz="0" w:space="0" w:color="auto"/>
        <w:right w:val="none" w:sz="0" w:space="0" w:color="auto"/>
      </w:divBdr>
    </w:div>
    <w:div w:id="465437226">
      <w:bodyDiv w:val="1"/>
      <w:marLeft w:val="0"/>
      <w:marRight w:val="0"/>
      <w:marTop w:val="0"/>
      <w:marBottom w:val="0"/>
      <w:divBdr>
        <w:top w:val="none" w:sz="0" w:space="0" w:color="auto"/>
        <w:left w:val="none" w:sz="0" w:space="0" w:color="auto"/>
        <w:bottom w:val="none" w:sz="0" w:space="0" w:color="auto"/>
        <w:right w:val="none" w:sz="0" w:space="0" w:color="auto"/>
      </w:divBdr>
      <w:divsChild>
        <w:div w:id="1075712822">
          <w:marLeft w:val="0"/>
          <w:marRight w:val="0"/>
          <w:marTop w:val="0"/>
          <w:marBottom w:val="0"/>
          <w:divBdr>
            <w:top w:val="none" w:sz="0" w:space="0" w:color="auto"/>
            <w:left w:val="none" w:sz="0" w:space="0" w:color="auto"/>
            <w:bottom w:val="none" w:sz="0" w:space="0" w:color="auto"/>
            <w:right w:val="none" w:sz="0" w:space="0" w:color="auto"/>
          </w:divBdr>
        </w:div>
        <w:div w:id="1414006068">
          <w:marLeft w:val="0"/>
          <w:marRight w:val="0"/>
          <w:marTop w:val="0"/>
          <w:marBottom w:val="0"/>
          <w:divBdr>
            <w:top w:val="none" w:sz="0" w:space="0" w:color="auto"/>
            <w:left w:val="none" w:sz="0" w:space="0" w:color="auto"/>
            <w:bottom w:val="none" w:sz="0" w:space="0" w:color="auto"/>
            <w:right w:val="none" w:sz="0" w:space="0" w:color="auto"/>
          </w:divBdr>
        </w:div>
      </w:divsChild>
    </w:div>
    <w:div w:id="572085263">
      <w:bodyDiv w:val="1"/>
      <w:marLeft w:val="0"/>
      <w:marRight w:val="0"/>
      <w:marTop w:val="0"/>
      <w:marBottom w:val="0"/>
      <w:divBdr>
        <w:top w:val="none" w:sz="0" w:space="0" w:color="auto"/>
        <w:left w:val="none" w:sz="0" w:space="0" w:color="auto"/>
        <w:bottom w:val="none" w:sz="0" w:space="0" w:color="auto"/>
        <w:right w:val="none" w:sz="0" w:space="0" w:color="auto"/>
      </w:divBdr>
    </w:div>
    <w:div w:id="889727084">
      <w:bodyDiv w:val="1"/>
      <w:marLeft w:val="0"/>
      <w:marRight w:val="0"/>
      <w:marTop w:val="0"/>
      <w:marBottom w:val="0"/>
      <w:divBdr>
        <w:top w:val="none" w:sz="0" w:space="0" w:color="auto"/>
        <w:left w:val="none" w:sz="0" w:space="0" w:color="auto"/>
        <w:bottom w:val="none" w:sz="0" w:space="0" w:color="auto"/>
        <w:right w:val="none" w:sz="0" w:space="0" w:color="auto"/>
      </w:divBdr>
    </w:div>
    <w:div w:id="1244490054">
      <w:bodyDiv w:val="1"/>
      <w:marLeft w:val="0"/>
      <w:marRight w:val="0"/>
      <w:marTop w:val="0"/>
      <w:marBottom w:val="0"/>
      <w:divBdr>
        <w:top w:val="none" w:sz="0" w:space="0" w:color="auto"/>
        <w:left w:val="none" w:sz="0" w:space="0" w:color="auto"/>
        <w:bottom w:val="none" w:sz="0" w:space="0" w:color="auto"/>
        <w:right w:val="none" w:sz="0" w:space="0" w:color="auto"/>
      </w:divBdr>
    </w:div>
    <w:div w:id="1266111489">
      <w:bodyDiv w:val="1"/>
      <w:marLeft w:val="0"/>
      <w:marRight w:val="0"/>
      <w:marTop w:val="0"/>
      <w:marBottom w:val="0"/>
      <w:divBdr>
        <w:top w:val="none" w:sz="0" w:space="0" w:color="auto"/>
        <w:left w:val="none" w:sz="0" w:space="0" w:color="auto"/>
        <w:bottom w:val="none" w:sz="0" w:space="0" w:color="auto"/>
        <w:right w:val="none" w:sz="0" w:space="0" w:color="auto"/>
      </w:divBdr>
    </w:div>
    <w:div w:id="1282030457">
      <w:bodyDiv w:val="1"/>
      <w:marLeft w:val="0"/>
      <w:marRight w:val="0"/>
      <w:marTop w:val="0"/>
      <w:marBottom w:val="0"/>
      <w:divBdr>
        <w:top w:val="none" w:sz="0" w:space="0" w:color="auto"/>
        <w:left w:val="none" w:sz="0" w:space="0" w:color="auto"/>
        <w:bottom w:val="none" w:sz="0" w:space="0" w:color="auto"/>
        <w:right w:val="none" w:sz="0" w:space="0" w:color="auto"/>
      </w:divBdr>
    </w:div>
    <w:div w:id="1367411706">
      <w:bodyDiv w:val="1"/>
      <w:marLeft w:val="0"/>
      <w:marRight w:val="0"/>
      <w:marTop w:val="0"/>
      <w:marBottom w:val="0"/>
      <w:divBdr>
        <w:top w:val="none" w:sz="0" w:space="0" w:color="auto"/>
        <w:left w:val="none" w:sz="0" w:space="0" w:color="auto"/>
        <w:bottom w:val="none" w:sz="0" w:space="0" w:color="auto"/>
        <w:right w:val="none" w:sz="0" w:space="0" w:color="auto"/>
      </w:divBdr>
    </w:div>
    <w:div w:id="1442332747">
      <w:bodyDiv w:val="1"/>
      <w:marLeft w:val="0"/>
      <w:marRight w:val="0"/>
      <w:marTop w:val="0"/>
      <w:marBottom w:val="0"/>
      <w:divBdr>
        <w:top w:val="none" w:sz="0" w:space="0" w:color="auto"/>
        <w:left w:val="none" w:sz="0" w:space="0" w:color="auto"/>
        <w:bottom w:val="none" w:sz="0" w:space="0" w:color="auto"/>
        <w:right w:val="none" w:sz="0" w:space="0" w:color="auto"/>
      </w:divBdr>
    </w:div>
    <w:div w:id="1536239057">
      <w:bodyDiv w:val="1"/>
      <w:marLeft w:val="0"/>
      <w:marRight w:val="0"/>
      <w:marTop w:val="0"/>
      <w:marBottom w:val="0"/>
      <w:divBdr>
        <w:top w:val="none" w:sz="0" w:space="0" w:color="auto"/>
        <w:left w:val="none" w:sz="0" w:space="0" w:color="auto"/>
        <w:bottom w:val="none" w:sz="0" w:space="0" w:color="auto"/>
        <w:right w:val="none" w:sz="0" w:space="0" w:color="auto"/>
      </w:divBdr>
    </w:div>
    <w:div w:id="1656490687">
      <w:bodyDiv w:val="1"/>
      <w:marLeft w:val="0"/>
      <w:marRight w:val="0"/>
      <w:marTop w:val="0"/>
      <w:marBottom w:val="0"/>
      <w:divBdr>
        <w:top w:val="none" w:sz="0" w:space="0" w:color="auto"/>
        <w:left w:val="none" w:sz="0" w:space="0" w:color="auto"/>
        <w:bottom w:val="none" w:sz="0" w:space="0" w:color="auto"/>
        <w:right w:val="none" w:sz="0" w:space="0" w:color="auto"/>
      </w:divBdr>
    </w:div>
    <w:div w:id="1737581926">
      <w:bodyDiv w:val="1"/>
      <w:marLeft w:val="0"/>
      <w:marRight w:val="0"/>
      <w:marTop w:val="0"/>
      <w:marBottom w:val="0"/>
      <w:divBdr>
        <w:top w:val="none" w:sz="0" w:space="0" w:color="auto"/>
        <w:left w:val="none" w:sz="0" w:space="0" w:color="auto"/>
        <w:bottom w:val="none" w:sz="0" w:space="0" w:color="auto"/>
        <w:right w:val="none" w:sz="0" w:space="0" w:color="auto"/>
      </w:divBdr>
    </w:div>
    <w:div w:id="2005161443">
      <w:bodyDiv w:val="1"/>
      <w:marLeft w:val="0"/>
      <w:marRight w:val="0"/>
      <w:marTop w:val="0"/>
      <w:marBottom w:val="0"/>
      <w:divBdr>
        <w:top w:val="none" w:sz="0" w:space="0" w:color="auto"/>
        <w:left w:val="none" w:sz="0" w:space="0" w:color="auto"/>
        <w:bottom w:val="none" w:sz="0" w:space="0" w:color="auto"/>
        <w:right w:val="none" w:sz="0" w:space="0" w:color="auto"/>
      </w:divBdr>
    </w:div>
    <w:div w:id="2092652333">
      <w:bodyDiv w:val="1"/>
      <w:marLeft w:val="0"/>
      <w:marRight w:val="0"/>
      <w:marTop w:val="0"/>
      <w:marBottom w:val="0"/>
      <w:divBdr>
        <w:top w:val="none" w:sz="0" w:space="0" w:color="auto"/>
        <w:left w:val="none" w:sz="0" w:space="0" w:color="auto"/>
        <w:bottom w:val="none" w:sz="0" w:space="0" w:color="auto"/>
        <w:right w:val="none" w:sz="0" w:space="0" w:color="auto"/>
      </w:divBdr>
      <w:divsChild>
        <w:div w:id="631206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7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leja\Dropbox\1-RChagui%20Senadora\2000006-Estampilla%20UniC&#243;rdoba\Insumos%20UniCordoba\Estadist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uby.chagui\Dropbox\1-RChagui%20Senadora\2000006-Estampilla%20UniC&#243;rdoba\Insumos%20UniCordoba\Estadist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uby.chagui\Dropbox\1-RChagui%20Senadora\2000006-Estampilla%20UniC&#243;rdoba\Insumos%20UniCordoba\INFORME%20%20DE%20INGRESOS%20ESTAMPILLA%20PRO%20UNIVERSIDAD%20DE%20C&#211;RDOBA%20VIGENCIAS%201999%20A%202018%20A%20CORTE%20DE%2024-07-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2002</c:v>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Hoja1!$F$6:$F$11</c:f>
              <c:numCache>
                <c:formatCode>#,#00%</c:formatCode>
                <c:ptCount val="6"/>
                <c:pt idx="0">
                  <c:v>0.63239002521714771</c:v>
                </c:pt>
                <c:pt idx="1">
                  <c:v>0.34995797142056601</c:v>
                </c:pt>
                <c:pt idx="2">
                  <c:v>1.6251050714485852E-2</c:v>
                </c:pt>
                <c:pt idx="3">
                  <c:v>8.4057158868030256E-4</c:v>
                </c:pt>
                <c:pt idx="4">
                  <c:v>4.2028579434015128E-4</c:v>
                </c:pt>
                <c:pt idx="5">
                  <c:v>1.4009526478005044E-4</c:v>
                </c:pt>
              </c:numCache>
            </c:numRef>
          </c:val>
          <c:extLst>
            <c:ext xmlns:c16="http://schemas.microsoft.com/office/drawing/2014/chart" uri="{C3380CC4-5D6E-409C-BE32-E72D297353CC}">
              <c16:uniqueId val="{00000000-A561-49DC-AC72-BDFBB33FDE17}"/>
            </c:ext>
          </c:extLst>
        </c:ser>
        <c:ser>
          <c:idx val="1"/>
          <c:order val="1"/>
          <c:tx>
            <c:v>2005</c:v>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Hoja1!$H$6:$H$11</c:f>
              <c:numCache>
                <c:formatCode>#,#00%</c:formatCode>
                <c:ptCount val="6"/>
                <c:pt idx="0">
                  <c:v>0.48475856487725921</c:v>
                </c:pt>
                <c:pt idx="1">
                  <c:v>0.42804154302670622</c:v>
                </c:pt>
                <c:pt idx="2">
                  <c:v>7.2835176692743461E-2</c:v>
                </c:pt>
                <c:pt idx="3">
                  <c:v>1.1329916374426759E-2</c:v>
                </c:pt>
                <c:pt idx="4">
                  <c:v>2.5627191799298624E-3</c:v>
                </c:pt>
                <c:pt idx="5">
                  <c:v>4.0463987051524142E-4</c:v>
                </c:pt>
              </c:numCache>
            </c:numRef>
          </c:val>
          <c:extLst>
            <c:ext xmlns:c16="http://schemas.microsoft.com/office/drawing/2014/chart" uri="{C3380CC4-5D6E-409C-BE32-E72D297353CC}">
              <c16:uniqueId val="{00000001-A561-49DC-AC72-BDFBB33FDE17}"/>
            </c:ext>
          </c:extLst>
        </c:ser>
        <c:ser>
          <c:idx val="2"/>
          <c:order val="2"/>
          <c:tx>
            <c:v>2010</c:v>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Hoja1!$J$6:$J$11</c:f>
              <c:numCache>
                <c:formatCode>0%</c:formatCode>
                <c:ptCount val="6"/>
                <c:pt idx="0">
                  <c:v>0.60813137332803602</c:v>
                </c:pt>
                <c:pt idx="1">
                  <c:v>0.3583631307111641</c:v>
                </c:pt>
                <c:pt idx="2">
                  <c:v>2.8693771244426788E-2</c:v>
                </c:pt>
                <c:pt idx="3">
                  <c:v>3.3108197589723216E-3</c:v>
                </c:pt>
                <c:pt idx="4">
                  <c:v>9.7117379596521429E-4</c:v>
                </c:pt>
                <c:pt idx="5">
                  <c:v>5.2973116143557148E-4</c:v>
                </c:pt>
              </c:numCache>
            </c:numRef>
          </c:val>
          <c:extLst>
            <c:ext xmlns:c16="http://schemas.microsoft.com/office/drawing/2014/chart" uri="{C3380CC4-5D6E-409C-BE32-E72D297353CC}">
              <c16:uniqueId val="{00000002-A561-49DC-AC72-BDFBB33FDE17}"/>
            </c:ext>
          </c:extLst>
        </c:ser>
        <c:ser>
          <c:idx val="3"/>
          <c:order val="3"/>
          <c:tx>
            <c:v>2015</c:v>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Hoja1!$L$6:$L$11</c:f>
              <c:numCache>
                <c:formatCode>0%</c:formatCode>
                <c:ptCount val="6"/>
                <c:pt idx="0">
                  <c:v>0.7608910891089109</c:v>
                </c:pt>
                <c:pt idx="1">
                  <c:v>0.2202970297029703</c:v>
                </c:pt>
                <c:pt idx="2">
                  <c:v>1.6725601131541725E-2</c:v>
                </c:pt>
                <c:pt idx="3">
                  <c:v>1.7326732673267327E-3</c:v>
                </c:pt>
                <c:pt idx="4">
                  <c:v>3.5360678925035362E-4</c:v>
                </c:pt>
                <c:pt idx="5">
                  <c:v>0</c:v>
                </c:pt>
              </c:numCache>
            </c:numRef>
          </c:val>
          <c:extLst>
            <c:ext xmlns:c16="http://schemas.microsoft.com/office/drawing/2014/chart" uri="{C3380CC4-5D6E-409C-BE32-E72D297353CC}">
              <c16:uniqueId val="{00000003-A561-49DC-AC72-BDFBB33FDE17}"/>
            </c:ext>
          </c:extLst>
        </c:ser>
        <c:ser>
          <c:idx val="4"/>
          <c:order val="4"/>
          <c:tx>
            <c:v>2018</c:v>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Hoja1!$N$6:$N$11</c:f>
              <c:numCache>
                <c:formatCode>0%</c:formatCode>
                <c:ptCount val="6"/>
                <c:pt idx="0">
                  <c:v>0.84885965970797639</c:v>
                </c:pt>
                <c:pt idx="1">
                  <c:v>0.13732351876432966</c:v>
                </c:pt>
                <c:pt idx="2">
                  <c:v>1.1644744780982262E-2</c:v>
                </c:pt>
                <c:pt idx="3">
                  <c:v>1.629057560033788E-3</c:v>
                </c:pt>
                <c:pt idx="4">
                  <c:v>4.2234825630505613E-4</c:v>
                </c:pt>
                <c:pt idx="5">
                  <c:v>1.2067093037287318E-4</c:v>
                </c:pt>
              </c:numCache>
            </c:numRef>
          </c:val>
          <c:extLst>
            <c:ext xmlns:c16="http://schemas.microsoft.com/office/drawing/2014/chart" uri="{C3380CC4-5D6E-409C-BE32-E72D297353CC}">
              <c16:uniqueId val="{00000004-A561-49DC-AC72-BDFBB33FDE17}"/>
            </c:ext>
          </c:extLst>
        </c:ser>
        <c:dLbls>
          <c:dLblPos val="outEnd"/>
          <c:showLegendKey val="0"/>
          <c:showVal val="1"/>
          <c:showCatName val="0"/>
          <c:showSerName val="0"/>
          <c:showPercent val="0"/>
          <c:showBubbleSize val="0"/>
        </c:dLbls>
        <c:gapWidth val="444"/>
        <c:overlap val="-90"/>
        <c:axId val="73446912"/>
        <c:axId val="73448832"/>
      </c:barChart>
      <c:catAx>
        <c:axId val="73446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CO"/>
                  <a:t>ESTRATO</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73448832"/>
        <c:crosses val="autoZero"/>
        <c:auto val="1"/>
        <c:lblAlgn val="ctr"/>
        <c:lblOffset val="100"/>
        <c:noMultiLvlLbl val="0"/>
      </c:catAx>
      <c:valAx>
        <c:axId val="73448832"/>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CO"/>
                  <a:t>% DE ESTUDIANTES X ESTRATO</a:t>
                </a:r>
              </a:p>
            </c:rich>
          </c:tx>
          <c:layout/>
          <c:overlay val="0"/>
          <c:spPr>
            <a:noFill/>
            <a:ln>
              <a:noFill/>
            </a:ln>
            <a:effectLst/>
          </c:spPr>
        </c:title>
        <c:numFmt formatCode="#,#00%" sourceLinked="1"/>
        <c:majorTickMark val="none"/>
        <c:minorTickMark val="none"/>
        <c:tickLblPos val="nextTo"/>
        <c:crossAx val="734469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Hoja3!$B$2</c:f>
              <c:strCache>
                <c:ptCount val="1"/>
                <c:pt idx="0">
                  <c:v>PLANTA</c:v>
                </c:pt>
              </c:strCache>
            </c:strRef>
          </c:tx>
          <c:marker>
            <c:symbol val="none"/>
          </c:marker>
          <c:cat>
            <c:strRef>
              <c:f>Hoja3!$A$3:$A$21</c:f>
              <c:strCache>
                <c:ptCount val="19"/>
                <c:pt idx="0">
                  <c:v>2000/1</c:v>
                </c:pt>
                <c:pt idx="1">
                  <c:v>2001/1</c:v>
                </c:pt>
                <c:pt idx="2">
                  <c:v>2002/1</c:v>
                </c:pt>
                <c:pt idx="3">
                  <c:v>2003/1</c:v>
                </c:pt>
                <c:pt idx="4">
                  <c:v>2004/1</c:v>
                </c:pt>
                <c:pt idx="5">
                  <c:v>2005/1</c:v>
                </c:pt>
                <c:pt idx="6">
                  <c:v>2006/1</c:v>
                </c:pt>
                <c:pt idx="7">
                  <c:v>2007/1</c:v>
                </c:pt>
                <c:pt idx="8">
                  <c:v>2008/1</c:v>
                </c:pt>
                <c:pt idx="9">
                  <c:v>2009/1</c:v>
                </c:pt>
                <c:pt idx="10">
                  <c:v>2010/1</c:v>
                </c:pt>
                <c:pt idx="11">
                  <c:v>2011/1</c:v>
                </c:pt>
                <c:pt idx="12">
                  <c:v>2012/1</c:v>
                </c:pt>
                <c:pt idx="13">
                  <c:v>2013/1</c:v>
                </c:pt>
                <c:pt idx="14">
                  <c:v>2014/1</c:v>
                </c:pt>
                <c:pt idx="15">
                  <c:v>2015/1</c:v>
                </c:pt>
                <c:pt idx="16">
                  <c:v>2016/1</c:v>
                </c:pt>
                <c:pt idx="17">
                  <c:v>2017/1</c:v>
                </c:pt>
                <c:pt idx="18">
                  <c:v>2018/1</c:v>
                </c:pt>
              </c:strCache>
            </c:strRef>
          </c:cat>
          <c:val>
            <c:numRef>
              <c:f>Hoja3!$B$3:$B$21</c:f>
              <c:numCache>
                <c:formatCode>General</c:formatCode>
                <c:ptCount val="19"/>
                <c:pt idx="0">
                  <c:v>179</c:v>
                </c:pt>
                <c:pt idx="1">
                  <c:v>179</c:v>
                </c:pt>
                <c:pt idx="2">
                  <c:v>188</c:v>
                </c:pt>
                <c:pt idx="3">
                  <c:v>181</c:v>
                </c:pt>
                <c:pt idx="4">
                  <c:v>186</c:v>
                </c:pt>
                <c:pt idx="5">
                  <c:v>198</c:v>
                </c:pt>
                <c:pt idx="6">
                  <c:v>224</c:v>
                </c:pt>
                <c:pt idx="7">
                  <c:v>222</c:v>
                </c:pt>
                <c:pt idx="8">
                  <c:v>224</c:v>
                </c:pt>
                <c:pt idx="9">
                  <c:v>220</c:v>
                </c:pt>
                <c:pt idx="10">
                  <c:v>232</c:v>
                </c:pt>
                <c:pt idx="11">
                  <c:v>228</c:v>
                </c:pt>
                <c:pt idx="12">
                  <c:v>228</c:v>
                </c:pt>
                <c:pt idx="13">
                  <c:v>228</c:v>
                </c:pt>
                <c:pt idx="14">
                  <c:v>228</c:v>
                </c:pt>
                <c:pt idx="15">
                  <c:v>247</c:v>
                </c:pt>
                <c:pt idx="16">
                  <c:v>234</c:v>
                </c:pt>
                <c:pt idx="17">
                  <c:v>284</c:v>
                </c:pt>
                <c:pt idx="18">
                  <c:v>290</c:v>
                </c:pt>
              </c:numCache>
            </c:numRef>
          </c:val>
          <c:smooth val="0"/>
          <c:extLst>
            <c:ext xmlns:c16="http://schemas.microsoft.com/office/drawing/2014/chart" uri="{C3380CC4-5D6E-409C-BE32-E72D297353CC}">
              <c16:uniqueId val="{00000000-6083-479C-B7A0-174F8E71E393}"/>
            </c:ext>
          </c:extLst>
        </c:ser>
        <c:ser>
          <c:idx val="1"/>
          <c:order val="1"/>
          <c:tx>
            <c:strRef>
              <c:f>Hoja3!$C$2</c:f>
              <c:strCache>
                <c:ptCount val="1"/>
                <c:pt idx="0">
                  <c:v>OCASIONAL</c:v>
                </c:pt>
              </c:strCache>
            </c:strRef>
          </c:tx>
          <c:marker>
            <c:symbol val="none"/>
          </c:marker>
          <c:cat>
            <c:strRef>
              <c:f>Hoja3!$A$3:$A$21</c:f>
              <c:strCache>
                <c:ptCount val="19"/>
                <c:pt idx="0">
                  <c:v>2000/1</c:v>
                </c:pt>
                <c:pt idx="1">
                  <c:v>2001/1</c:v>
                </c:pt>
                <c:pt idx="2">
                  <c:v>2002/1</c:v>
                </c:pt>
                <c:pt idx="3">
                  <c:v>2003/1</c:v>
                </c:pt>
                <c:pt idx="4">
                  <c:v>2004/1</c:v>
                </c:pt>
                <c:pt idx="5">
                  <c:v>2005/1</c:v>
                </c:pt>
                <c:pt idx="6">
                  <c:v>2006/1</c:v>
                </c:pt>
                <c:pt idx="7">
                  <c:v>2007/1</c:v>
                </c:pt>
                <c:pt idx="8">
                  <c:v>2008/1</c:v>
                </c:pt>
                <c:pt idx="9">
                  <c:v>2009/1</c:v>
                </c:pt>
                <c:pt idx="10">
                  <c:v>2010/1</c:v>
                </c:pt>
                <c:pt idx="11">
                  <c:v>2011/1</c:v>
                </c:pt>
                <c:pt idx="12">
                  <c:v>2012/1</c:v>
                </c:pt>
                <c:pt idx="13">
                  <c:v>2013/1</c:v>
                </c:pt>
                <c:pt idx="14">
                  <c:v>2014/1</c:v>
                </c:pt>
                <c:pt idx="15">
                  <c:v>2015/1</c:v>
                </c:pt>
                <c:pt idx="16">
                  <c:v>2016/1</c:v>
                </c:pt>
                <c:pt idx="17">
                  <c:v>2017/1</c:v>
                </c:pt>
                <c:pt idx="18">
                  <c:v>2018/1</c:v>
                </c:pt>
              </c:strCache>
            </c:strRef>
          </c:cat>
          <c:val>
            <c:numRef>
              <c:f>Hoja3!$C$3:$C$21</c:f>
              <c:numCache>
                <c:formatCode>General</c:formatCode>
                <c:ptCount val="19"/>
                <c:pt idx="0">
                  <c:v>140</c:v>
                </c:pt>
                <c:pt idx="1">
                  <c:v>88</c:v>
                </c:pt>
                <c:pt idx="2">
                  <c:v>69</c:v>
                </c:pt>
                <c:pt idx="3">
                  <c:v>73</c:v>
                </c:pt>
                <c:pt idx="4">
                  <c:v>70</c:v>
                </c:pt>
                <c:pt idx="5">
                  <c:v>72</c:v>
                </c:pt>
                <c:pt idx="6">
                  <c:v>59</c:v>
                </c:pt>
                <c:pt idx="7">
                  <c:v>60</c:v>
                </c:pt>
                <c:pt idx="8">
                  <c:v>58</c:v>
                </c:pt>
                <c:pt idx="9">
                  <c:v>74</c:v>
                </c:pt>
                <c:pt idx="10">
                  <c:v>95</c:v>
                </c:pt>
                <c:pt idx="11">
                  <c:v>133</c:v>
                </c:pt>
                <c:pt idx="12">
                  <c:v>122</c:v>
                </c:pt>
                <c:pt idx="13">
                  <c:v>122</c:v>
                </c:pt>
                <c:pt idx="14">
                  <c:v>93</c:v>
                </c:pt>
                <c:pt idx="15">
                  <c:v>68</c:v>
                </c:pt>
                <c:pt idx="16">
                  <c:v>79</c:v>
                </c:pt>
                <c:pt idx="17">
                  <c:v>14</c:v>
                </c:pt>
                <c:pt idx="18">
                  <c:v>16</c:v>
                </c:pt>
              </c:numCache>
            </c:numRef>
          </c:val>
          <c:smooth val="0"/>
          <c:extLst>
            <c:ext xmlns:c16="http://schemas.microsoft.com/office/drawing/2014/chart" uri="{C3380CC4-5D6E-409C-BE32-E72D297353CC}">
              <c16:uniqueId val="{00000001-6083-479C-B7A0-174F8E71E393}"/>
            </c:ext>
          </c:extLst>
        </c:ser>
        <c:ser>
          <c:idx val="2"/>
          <c:order val="2"/>
          <c:tx>
            <c:strRef>
              <c:f>Hoja3!$D$2</c:f>
              <c:strCache>
                <c:ptCount val="1"/>
                <c:pt idx="0">
                  <c:v>CATEDRA</c:v>
                </c:pt>
              </c:strCache>
            </c:strRef>
          </c:tx>
          <c:marker>
            <c:symbol val="none"/>
          </c:marker>
          <c:cat>
            <c:strRef>
              <c:f>Hoja3!$A$3:$A$21</c:f>
              <c:strCache>
                <c:ptCount val="19"/>
                <c:pt idx="0">
                  <c:v>2000/1</c:v>
                </c:pt>
                <c:pt idx="1">
                  <c:v>2001/1</c:v>
                </c:pt>
                <c:pt idx="2">
                  <c:v>2002/1</c:v>
                </c:pt>
                <c:pt idx="3">
                  <c:v>2003/1</c:v>
                </c:pt>
                <c:pt idx="4">
                  <c:v>2004/1</c:v>
                </c:pt>
                <c:pt idx="5">
                  <c:v>2005/1</c:v>
                </c:pt>
                <c:pt idx="6">
                  <c:v>2006/1</c:v>
                </c:pt>
                <c:pt idx="7">
                  <c:v>2007/1</c:v>
                </c:pt>
                <c:pt idx="8">
                  <c:v>2008/1</c:v>
                </c:pt>
                <c:pt idx="9">
                  <c:v>2009/1</c:v>
                </c:pt>
                <c:pt idx="10">
                  <c:v>2010/1</c:v>
                </c:pt>
                <c:pt idx="11">
                  <c:v>2011/1</c:v>
                </c:pt>
                <c:pt idx="12">
                  <c:v>2012/1</c:v>
                </c:pt>
                <c:pt idx="13">
                  <c:v>2013/1</c:v>
                </c:pt>
                <c:pt idx="14">
                  <c:v>2014/1</c:v>
                </c:pt>
                <c:pt idx="15">
                  <c:v>2015/1</c:v>
                </c:pt>
                <c:pt idx="16">
                  <c:v>2016/1</c:v>
                </c:pt>
                <c:pt idx="17">
                  <c:v>2017/1</c:v>
                </c:pt>
                <c:pt idx="18">
                  <c:v>2018/1</c:v>
                </c:pt>
              </c:strCache>
            </c:strRef>
          </c:cat>
          <c:val>
            <c:numRef>
              <c:f>Hoja3!$D$3:$D$21</c:f>
              <c:numCache>
                <c:formatCode>General</c:formatCode>
                <c:ptCount val="19"/>
                <c:pt idx="0">
                  <c:v>142</c:v>
                </c:pt>
                <c:pt idx="1">
                  <c:v>175</c:v>
                </c:pt>
                <c:pt idx="2">
                  <c:v>211</c:v>
                </c:pt>
                <c:pt idx="3">
                  <c:v>222</c:v>
                </c:pt>
                <c:pt idx="4">
                  <c:v>237</c:v>
                </c:pt>
                <c:pt idx="5">
                  <c:v>269</c:v>
                </c:pt>
                <c:pt idx="6">
                  <c:v>257</c:v>
                </c:pt>
                <c:pt idx="7">
                  <c:v>311</c:v>
                </c:pt>
                <c:pt idx="8">
                  <c:v>319</c:v>
                </c:pt>
                <c:pt idx="9">
                  <c:v>320</c:v>
                </c:pt>
                <c:pt idx="10">
                  <c:v>348</c:v>
                </c:pt>
                <c:pt idx="11">
                  <c:v>430</c:v>
                </c:pt>
                <c:pt idx="12">
                  <c:v>460</c:v>
                </c:pt>
                <c:pt idx="13">
                  <c:v>504</c:v>
                </c:pt>
                <c:pt idx="14">
                  <c:v>576</c:v>
                </c:pt>
                <c:pt idx="15">
                  <c:v>604</c:v>
                </c:pt>
                <c:pt idx="16">
                  <c:v>605</c:v>
                </c:pt>
                <c:pt idx="17">
                  <c:v>650</c:v>
                </c:pt>
                <c:pt idx="18">
                  <c:v>683</c:v>
                </c:pt>
              </c:numCache>
            </c:numRef>
          </c:val>
          <c:smooth val="0"/>
          <c:extLst>
            <c:ext xmlns:c16="http://schemas.microsoft.com/office/drawing/2014/chart" uri="{C3380CC4-5D6E-409C-BE32-E72D297353CC}">
              <c16:uniqueId val="{00000002-6083-479C-B7A0-174F8E71E393}"/>
            </c:ext>
          </c:extLst>
        </c:ser>
        <c:dLbls>
          <c:showLegendKey val="0"/>
          <c:showVal val="0"/>
          <c:showCatName val="0"/>
          <c:showSerName val="0"/>
          <c:showPercent val="0"/>
          <c:showBubbleSize val="0"/>
        </c:dLbls>
        <c:smooth val="0"/>
        <c:axId val="73464064"/>
        <c:axId val="96407552"/>
      </c:lineChart>
      <c:catAx>
        <c:axId val="73464064"/>
        <c:scaling>
          <c:orientation val="minMax"/>
        </c:scaling>
        <c:delete val="0"/>
        <c:axPos val="b"/>
        <c:numFmt formatCode="General" sourceLinked="0"/>
        <c:majorTickMark val="none"/>
        <c:minorTickMark val="none"/>
        <c:tickLblPos val="nextTo"/>
        <c:crossAx val="96407552"/>
        <c:crosses val="autoZero"/>
        <c:auto val="1"/>
        <c:lblAlgn val="ctr"/>
        <c:lblOffset val="100"/>
        <c:noMultiLvlLbl val="0"/>
      </c:catAx>
      <c:valAx>
        <c:axId val="96407552"/>
        <c:scaling>
          <c:orientation val="minMax"/>
        </c:scaling>
        <c:delete val="0"/>
        <c:axPos val="l"/>
        <c:majorGridlines/>
        <c:numFmt formatCode="General" sourceLinked="1"/>
        <c:majorTickMark val="none"/>
        <c:minorTickMark val="none"/>
        <c:tickLblPos val="nextTo"/>
        <c:spPr>
          <a:ln w="6350">
            <a:noFill/>
          </a:ln>
        </c:spPr>
        <c:crossAx val="7346406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Hoja1!$A$9:$A$28</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Hoja1!$B$9:$B$28</c:f>
              <c:numCache>
                <c:formatCode>0.0</c:formatCode>
                <c:ptCount val="20"/>
                <c:pt idx="0">
                  <c:v>0.79655742399999996</c:v>
                </c:pt>
                <c:pt idx="1">
                  <c:v>0.54559436699999997</c:v>
                </c:pt>
                <c:pt idx="2">
                  <c:v>0.73126539400000001</c:v>
                </c:pt>
                <c:pt idx="3">
                  <c:v>0.87152157100000005</c:v>
                </c:pt>
                <c:pt idx="4">
                  <c:v>0.58493637399999998</c:v>
                </c:pt>
                <c:pt idx="5">
                  <c:v>2.2284756720000001</c:v>
                </c:pt>
                <c:pt idx="6">
                  <c:v>0.86253692400000004</c:v>
                </c:pt>
                <c:pt idx="7">
                  <c:v>1.6950566830999998</c:v>
                </c:pt>
                <c:pt idx="8">
                  <c:v>2.9629732573299998</c:v>
                </c:pt>
                <c:pt idx="9">
                  <c:v>1.7719746940999999</c:v>
                </c:pt>
                <c:pt idx="10">
                  <c:v>1.9387958103399998</c:v>
                </c:pt>
                <c:pt idx="11">
                  <c:v>5.2994046566700002</c:v>
                </c:pt>
                <c:pt idx="12">
                  <c:v>4.6281953192200005</c:v>
                </c:pt>
                <c:pt idx="13">
                  <c:v>7.15544115337</c:v>
                </c:pt>
                <c:pt idx="14">
                  <c:v>7.59492919753</c:v>
                </c:pt>
                <c:pt idx="15">
                  <c:v>11.678933734999999</c:v>
                </c:pt>
                <c:pt idx="16">
                  <c:v>19.272647553999999</c:v>
                </c:pt>
                <c:pt idx="17">
                  <c:v>13.185645730999999</c:v>
                </c:pt>
                <c:pt idx="18">
                  <c:v>9.9865854279999997</c:v>
                </c:pt>
                <c:pt idx="19">
                  <c:v>6.0957999579999997</c:v>
                </c:pt>
              </c:numCache>
            </c:numRef>
          </c:val>
          <c:extLst>
            <c:ext xmlns:c16="http://schemas.microsoft.com/office/drawing/2014/chart" uri="{C3380CC4-5D6E-409C-BE32-E72D297353CC}">
              <c16:uniqueId val="{00000000-0B80-40F9-A218-64C139286E5D}"/>
            </c:ext>
          </c:extLst>
        </c:ser>
        <c:dLbls>
          <c:dLblPos val="outEnd"/>
          <c:showLegendKey val="0"/>
          <c:showVal val="1"/>
          <c:showCatName val="0"/>
          <c:showSerName val="0"/>
          <c:showPercent val="0"/>
          <c:showBubbleSize val="0"/>
        </c:dLbls>
        <c:gapWidth val="20"/>
        <c:axId val="96427008"/>
        <c:axId val="96454528"/>
      </c:barChart>
      <c:catAx>
        <c:axId val="96427008"/>
        <c:scaling>
          <c:orientation val="minMax"/>
        </c:scaling>
        <c:delete val="0"/>
        <c:axPos val="b"/>
        <c:numFmt formatCode="General" sourceLinked="1"/>
        <c:majorTickMark val="out"/>
        <c:minorTickMark val="none"/>
        <c:tickLblPos val="nextTo"/>
        <c:crossAx val="96454528"/>
        <c:crosses val="autoZero"/>
        <c:auto val="1"/>
        <c:lblAlgn val="ctr"/>
        <c:lblOffset val="100"/>
        <c:noMultiLvlLbl val="0"/>
      </c:catAx>
      <c:valAx>
        <c:axId val="96454528"/>
        <c:scaling>
          <c:orientation val="minMax"/>
        </c:scaling>
        <c:delete val="0"/>
        <c:axPos val="l"/>
        <c:majorGridlines/>
        <c:numFmt formatCode="0.0" sourceLinked="1"/>
        <c:majorTickMark val="out"/>
        <c:minorTickMark val="none"/>
        <c:tickLblPos val="nextTo"/>
        <c:crossAx val="964270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2980</Words>
  <Characters>16396</Characters>
  <Application>Microsoft Office Word</Application>
  <DocSecurity>4</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Urrutia Riveros</dc:creator>
  <cp:lastModifiedBy>hasbleidy suarez</cp:lastModifiedBy>
  <cp:revision>2</cp:revision>
  <cp:lastPrinted>2018-08-08T17:19:00Z</cp:lastPrinted>
  <dcterms:created xsi:type="dcterms:W3CDTF">2018-08-09T00:37:00Z</dcterms:created>
  <dcterms:modified xsi:type="dcterms:W3CDTF">2018-08-09T00:37:00Z</dcterms:modified>
</cp:coreProperties>
</file>